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046" w:rsidRDefault="00983611" w:rsidP="00990133">
      <w:pPr>
        <w:jc w:val="both"/>
        <w:rPr>
          <w:rFonts w:ascii="Times New Roman" w:hAnsi="Times New Roman" w:cs="Times New Roman"/>
          <w:b/>
          <w:sz w:val="44"/>
          <w:szCs w:val="44"/>
          <w:lang w:val="en-GB"/>
        </w:rPr>
      </w:pPr>
      <w:r>
        <w:rPr>
          <w:noProof/>
          <w:lang w:val="nl-BE" w:eastAsia="nl-BE"/>
        </w:rPr>
        <w:drawing>
          <wp:inline distT="0" distB="0" distL="0" distR="0" wp14:anchorId="0CF2F742" wp14:editId="600446B0">
            <wp:extent cx="2590800" cy="915632"/>
            <wp:effectExtent l="0" t="0" r="0" b="0"/>
            <wp:docPr id="5"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2408" cy="916200"/>
                    </a:xfrm>
                    <a:prstGeom prst="rect">
                      <a:avLst/>
                    </a:prstGeom>
                  </pic:spPr>
                </pic:pic>
              </a:graphicData>
            </a:graphic>
          </wp:inline>
        </w:drawing>
      </w:r>
    </w:p>
    <w:p w:rsidR="004B147B" w:rsidRPr="002469D3" w:rsidRDefault="00C75AD8" w:rsidP="00990133">
      <w:pPr>
        <w:jc w:val="both"/>
        <w:rPr>
          <w:rFonts w:ascii="Times New Roman" w:hAnsi="Times New Roman" w:cs="Times New Roman"/>
          <w:b/>
          <w:sz w:val="24"/>
          <w:szCs w:val="24"/>
          <w:lang w:val="en-GB"/>
        </w:rPr>
      </w:pPr>
      <w:r w:rsidRPr="002469D3">
        <w:rPr>
          <w:rFonts w:ascii="Times New Roman" w:hAnsi="Times New Roman" w:cs="Times New Roman"/>
          <w:b/>
          <w:sz w:val="44"/>
          <w:szCs w:val="44"/>
          <w:lang w:val="en-GB"/>
        </w:rPr>
        <w:t>GRADING TABLE</w:t>
      </w:r>
      <w:r w:rsidR="0038390D">
        <w:rPr>
          <w:rFonts w:ascii="Times New Roman" w:hAnsi="Times New Roman" w:cs="Times New Roman"/>
          <w:b/>
          <w:sz w:val="44"/>
          <w:szCs w:val="44"/>
          <w:lang w:val="en-GB"/>
        </w:rPr>
        <w:t>S: what are they all about?</w:t>
      </w:r>
    </w:p>
    <w:p w:rsidR="0081395B" w:rsidRPr="002469D3" w:rsidRDefault="0081395B" w:rsidP="00990133">
      <w:pPr>
        <w:jc w:val="both"/>
        <w:rPr>
          <w:rFonts w:ascii="Times New Roman" w:hAnsi="Times New Roman" w:cs="Times New Roman"/>
          <w:b/>
          <w:sz w:val="32"/>
          <w:szCs w:val="32"/>
          <w:u w:val="single"/>
          <w:lang w:val="en-GB"/>
        </w:rPr>
      </w:pPr>
      <w:r w:rsidRPr="002469D3">
        <w:rPr>
          <w:rFonts w:ascii="Times New Roman" w:hAnsi="Times New Roman" w:cs="Times New Roman"/>
          <w:b/>
          <w:sz w:val="32"/>
          <w:szCs w:val="32"/>
          <w:u w:val="single"/>
          <w:lang w:val="en-GB"/>
        </w:rPr>
        <w:t>Starting Point</w:t>
      </w:r>
    </w:p>
    <w:p w:rsidR="00585C2A" w:rsidRPr="006E5CBE" w:rsidRDefault="006E5CBE" w:rsidP="00990133">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hyperlink r:id="rId9" w:history="1">
        <w:r w:rsidRPr="005B02B6">
          <w:rPr>
            <w:rStyle w:val="Hyperlink"/>
            <w:rFonts w:ascii="Times New Roman" w:hAnsi="Times New Roman" w:cs="Times New Roman"/>
            <w:sz w:val="24"/>
            <w:szCs w:val="24"/>
            <w:lang w:val="en-GB"/>
          </w:rPr>
          <w:t>Egracons project</w:t>
        </w:r>
      </w:hyperlink>
      <w:r>
        <w:rPr>
          <w:rFonts w:ascii="Times New Roman" w:hAnsi="Times New Roman" w:cs="Times New Roman"/>
          <w:sz w:val="24"/>
          <w:szCs w:val="24"/>
          <w:lang w:val="en-GB"/>
        </w:rPr>
        <w:t xml:space="preserve"> wants to </w:t>
      </w:r>
      <w:r w:rsidR="005B02B6">
        <w:rPr>
          <w:rFonts w:ascii="Times New Roman" w:hAnsi="Times New Roman" w:cs="Times New Roman"/>
          <w:sz w:val="24"/>
          <w:szCs w:val="24"/>
          <w:lang w:val="en-GB"/>
        </w:rPr>
        <w:t>adhere</w:t>
      </w:r>
      <w:r>
        <w:rPr>
          <w:rFonts w:ascii="Times New Roman" w:hAnsi="Times New Roman" w:cs="Times New Roman"/>
          <w:sz w:val="24"/>
          <w:szCs w:val="24"/>
          <w:lang w:val="en-GB"/>
        </w:rPr>
        <w:t xml:space="preserve"> as closely as possible to the (general) instruction</w:t>
      </w:r>
      <w:r w:rsidR="005B02B6">
        <w:rPr>
          <w:rFonts w:ascii="Times New Roman" w:hAnsi="Times New Roman" w:cs="Times New Roman"/>
          <w:sz w:val="24"/>
          <w:szCs w:val="24"/>
          <w:lang w:val="en-GB"/>
        </w:rPr>
        <w:t>s</w:t>
      </w:r>
      <w:r>
        <w:rPr>
          <w:rFonts w:ascii="Times New Roman" w:hAnsi="Times New Roman" w:cs="Times New Roman"/>
          <w:sz w:val="24"/>
          <w:szCs w:val="24"/>
          <w:lang w:val="en-GB"/>
        </w:rPr>
        <w:t xml:space="preserve"> on how to prepare grading tables (</w:t>
      </w:r>
      <w:r w:rsidR="004F4DDD">
        <w:rPr>
          <w:rFonts w:ascii="Times New Roman" w:hAnsi="Times New Roman" w:cs="Times New Roman"/>
          <w:sz w:val="24"/>
          <w:szCs w:val="24"/>
          <w:lang w:val="en-GB"/>
        </w:rPr>
        <w:t>grade distribution tables that show the frequency of grades within degrees</w:t>
      </w:r>
      <w:r>
        <w:rPr>
          <w:rFonts w:ascii="Times New Roman" w:hAnsi="Times New Roman" w:cs="Times New Roman"/>
          <w:sz w:val="24"/>
          <w:szCs w:val="24"/>
          <w:lang w:val="en-GB"/>
        </w:rPr>
        <w:t xml:space="preserve">) as elaborated in the </w:t>
      </w:r>
      <w:r w:rsidR="008F3E05">
        <w:rPr>
          <w:rFonts w:ascii="Times New Roman" w:hAnsi="Times New Roman" w:cs="Times New Roman"/>
          <w:sz w:val="24"/>
          <w:szCs w:val="24"/>
          <w:lang w:val="en-GB"/>
        </w:rPr>
        <w:t>2</w:t>
      </w:r>
      <w:r w:rsidR="00DA3EF0">
        <w:rPr>
          <w:rFonts w:ascii="Times New Roman" w:hAnsi="Times New Roman" w:cs="Times New Roman"/>
          <w:sz w:val="24"/>
          <w:szCs w:val="24"/>
          <w:lang w:val="en-GB"/>
        </w:rPr>
        <w:t>015</w:t>
      </w:r>
      <w:r>
        <w:rPr>
          <w:rFonts w:ascii="Times New Roman" w:hAnsi="Times New Roman" w:cs="Times New Roman"/>
          <w:sz w:val="24"/>
          <w:szCs w:val="24"/>
          <w:lang w:val="en-GB"/>
        </w:rPr>
        <w:t xml:space="preserve"> ECTS Users’ guide</w:t>
      </w:r>
      <w:r w:rsidR="00DA3EF0">
        <w:rPr>
          <w:rFonts w:ascii="Times New Roman" w:hAnsi="Times New Roman" w:cs="Times New Roman"/>
          <w:sz w:val="24"/>
          <w:szCs w:val="24"/>
          <w:lang w:val="en-GB"/>
        </w:rPr>
        <w:t>. On p.</w:t>
      </w:r>
      <w:r w:rsidR="0050169A">
        <w:rPr>
          <w:rFonts w:ascii="Times New Roman" w:hAnsi="Times New Roman" w:cs="Times New Roman"/>
          <w:sz w:val="24"/>
          <w:szCs w:val="24"/>
          <w:lang w:val="en-GB"/>
        </w:rPr>
        <w:t xml:space="preserve"> 39-</w:t>
      </w:r>
      <w:r w:rsidR="00DA3EF0">
        <w:rPr>
          <w:rFonts w:ascii="Times New Roman" w:hAnsi="Times New Roman" w:cs="Times New Roman"/>
          <w:sz w:val="24"/>
          <w:szCs w:val="24"/>
          <w:lang w:val="en-GB"/>
        </w:rPr>
        <w:t>40 of the new guide (</w:t>
      </w:r>
      <w:hyperlink r:id="rId10" w:history="1">
        <w:r w:rsidR="00DA3EF0">
          <w:rPr>
            <w:rStyle w:val="Hyperlink"/>
            <w:rFonts w:ascii="Helvetica" w:eastAsia="Times New Roman" w:hAnsi="Helvetica" w:cs="Helvetica"/>
            <w:noProof/>
            <w:spacing w:val="6"/>
            <w:sz w:val="18"/>
            <w:szCs w:val="18"/>
            <w:bdr w:val="none" w:sz="0" w:space="0" w:color="auto" w:frame="1"/>
            <w:lang w:eastAsia="nl-BE"/>
          </w:rPr>
          <w:t>http://ec.europa.eu/education/library/publications/2015/ects-users-guide_en.pdf</w:t>
        </w:r>
      </w:hyperlink>
      <w:r w:rsidR="00DA3EF0">
        <w:rPr>
          <w:rFonts w:ascii="Helvetica" w:eastAsia="Times New Roman" w:hAnsi="Helvetica" w:cs="Helvetica"/>
          <w:noProof/>
          <w:color w:val="555555"/>
          <w:spacing w:val="6"/>
          <w:sz w:val="18"/>
          <w:szCs w:val="18"/>
          <w:bdr w:val="none" w:sz="0" w:space="0" w:color="auto" w:frame="1"/>
          <w:lang w:eastAsia="nl-BE"/>
        </w:rPr>
        <w:t>)</w:t>
      </w:r>
      <w:r w:rsidR="00DA3EF0">
        <w:rPr>
          <w:rFonts w:ascii="Times New Roman" w:hAnsi="Times New Roman" w:cs="Times New Roman"/>
          <w:sz w:val="24"/>
          <w:szCs w:val="24"/>
          <w:lang w:val="en-GB"/>
        </w:rPr>
        <w:t xml:space="preserve"> it says: </w:t>
      </w:r>
    </w:p>
    <w:p w:rsidR="0050169A" w:rsidRPr="008C6241" w:rsidRDefault="007D2C19" w:rsidP="0050169A">
      <w:pPr>
        <w:pBdr>
          <w:top w:val="nil"/>
          <w:left w:val="nil"/>
          <w:bottom w:val="nil"/>
          <w:right w:val="nil"/>
          <w:between w:val="nil"/>
          <w:bar w:val="nil"/>
        </w:pBdr>
        <w:spacing w:after="120" w:line="264" w:lineRule="auto"/>
        <w:ind w:left="11"/>
        <w:jc w:val="both"/>
        <w:rPr>
          <w:rFonts w:ascii="Arial" w:eastAsia="Arial" w:hAnsi="Arial" w:cs="Arial"/>
          <w:color w:val="000000"/>
          <w:sz w:val="20"/>
          <w:szCs w:val="20"/>
          <w:u w:color="000000"/>
          <w:bdr w:val="nil"/>
          <w:lang w:val="en-US"/>
        </w:rPr>
      </w:pPr>
      <w:r>
        <w:rPr>
          <w:rFonts w:ascii="Times New Roman" w:hAnsi="Times New Roman" w:cs="Times New Roman"/>
          <w:sz w:val="24"/>
          <w:szCs w:val="24"/>
          <w:lang w:val="en-GB"/>
        </w:rPr>
        <w:t>“</w:t>
      </w:r>
      <w:r w:rsidR="0050169A" w:rsidRPr="008C6241">
        <w:rPr>
          <w:rFonts w:ascii="Arial" w:eastAsia="Arial" w:hAnsi="Arial" w:cs="Arial"/>
          <w:color w:val="000000"/>
          <w:sz w:val="20"/>
          <w:szCs w:val="20"/>
          <w:u w:color="000000"/>
          <w:bdr w:val="nil"/>
          <w:lang w:val="en-US"/>
        </w:rPr>
        <w:t xml:space="preserve">Grade Distribution Tables have to be developed in a </w:t>
      </w:r>
      <w:r w:rsidR="0050169A" w:rsidRPr="008C6241">
        <w:rPr>
          <w:rFonts w:ascii="Arial" w:eastAsia="Arial" w:hAnsi="Arial" w:cs="Arial"/>
          <w:i/>
          <w:iCs/>
          <w:color w:val="000000"/>
          <w:sz w:val="20"/>
          <w:szCs w:val="20"/>
          <w:u w:color="000000"/>
          <w:bdr w:val="nil"/>
          <w:lang w:val="en-US"/>
        </w:rPr>
        <w:t>standardised</w:t>
      </w:r>
      <w:r w:rsidR="0050169A" w:rsidRPr="008C6241">
        <w:rPr>
          <w:rFonts w:ascii="Arial" w:eastAsia="Arial" w:hAnsi="Arial" w:cs="Arial"/>
          <w:color w:val="000000"/>
          <w:sz w:val="20"/>
          <w:szCs w:val="20"/>
          <w:u w:color="000000"/>
          <w:bdr w:val="nil"/>
          <w:lang w:val="en-US"/>
        </w:rPr>
        <w:t xml:space="preserve"> format</w:t>
      </w:r>
      <w:r w:rsidR="0050169A">
        <w:rPr>
          <w:rFonts w:ascii="Arial" w:eastAsia="Arial" w:hAnsi="Arial" w:cs="Arial"/>
          <w:color w:val="000000"/>
          <w:sz w:val="20"/>
          <w:szCs w:val="20"/>
          <w:u w:color="000000"/>
          <w:bdr w:val="nil"/>
          <w:lang w:val="en-US"/>
        </w:rPr>
        <w:t xml:space="preserve"> f</w:t>
      </w:r>
      <w:r w:rsidR="0050169A" w:rsidRPr="008C6241">
        <w:rPr>
          <w:rFonts w:ascii="Arial" w:eastAsia="Arial" w:hAnsi="Arial" w:cs="Arial"/>
          <w:color w:val="000000"/>
          <w:sz w:val="20"/>
          <w:szCs w:val="20"/>
          <w:u w:color="000000"/>
          <w:bdr w:val="nil"/>
          <w:lang w:val="en-US"/>
        </w:rPr>
        <w:t xml:space="preserve">or reference groups of </w:t>
      </w:r>
      <w:r w:rsidR="0050169A">
        <w:rPr>
          <w:rFonts w:ascii="Arial" w:eastAsia="Arial" w:hAnsi="Arial" w:cs="Arial"/>
          <w:color w:val="000000"/>
          <w:sz w:val="20"/>
          <w:szCs w:val="20"/>
          <w:u w:color="000000"/>
          <w:bdr w:val="nil"/>
          <w:lang w:val="en-US"/>
        </w:rPr>
        <w:t>student</w:t>
      </w:r>
      <w:r w:rsidR="0050169A" w:rsidRPr="008C6241">
        <w:rPr>
          <w:rFonts w:ascii="Arial" w:eastAsia="Arial" w:hAnsi="Arial" w:cs="Arial"/>
          <w:color w:val="000000"/>
          <w:sz w:val="20"/>
          <w:szCs w:val="20"/>
          <w:u w:color="000000"/>
          <w:bdr w:val="nil"/>
          <w:lang w:val="en-US"/>
        </w:rPr>
        <w:t xml:space="preserve">s enrolled in degree programmes belonging to the same field of studies. Such groups should be of reliable size in terms of number of </w:t>
      </w:r>
      <w:r w:rsidR="0050169A">
        <w:rPr>
          <w:rFonts w:ascii="Arial" w:eastAsia="Arial" w:hAnsi="Arial" w:cs="Arial"/>
          <w:color w:val="000000"/>
          <w:sz w:val="20"/>
          <w:szCs w:val="20"/>
          <w:u w:color="000000"/>
          <w:bdr w:val="nil"/>
          <w:lang w:val="en-US"/>
        </w:rPr>
        <w:t>student</w:t>
      </w:r>
      <w:r w:rsidR="0050169A" w:rsidRPr="008C6241">
        <w:rPr>
          <w:rFonts w:ascii="Arial" w:eastAsia="Arial" w:hAnsi="Arial" w:cs="Arial"/>
          <w:color w:val="000000"/>
          <w:sz w:val="20"/>
          <w:szCs w:val="20"/>
          <w:u w:color="000000"/>
          <w:bdr w:val="nil"/>
          <w:lang w:val="en-US"/>
        </w:rPr>
        <w:t xml:space="preserve">s and number of years considered. </w:t>
      </w:r>
    </w:p>
    <w:p w:rsidR="0050169A" w:rsidRPr="008C6241" w:rsidRDefault="0050169A" w:rsidP="0050169A">
      <w:pPr>
        <w:pBdr>
          <w:top w:val="nil"/>
          <w:left w:val="nil"/>
          <w:bottom w:val="nil"/>
          <w:right w:val="nil"/>
          <w:between w:val="nil"/>
          <w:bar w:val="nil"/>
        </w:pBdr>
        <w:suppressAutoHyphens/>
        <w:spacing w:after="120" w:line="264" w:lineRule="auto"/>
        <w:ind w:left="22"/>
        <w:jc w:val="both"/>
        <w:rPr>
          <w:rFonts w:ascii="Arial" w:eastAsia="Arial" w:hAnsi="Arial" w:cs="Arial"/>
          <w:color w:val="000000"/>
          <w:sz w:val="20"/>
          <w:szCs w:val="20"/>
          <w:u w:val="single" w:color="000000"/>
          <w:bdr w:val="nil"/>
          <w:lang w:val="en-US"/>
        </w:rPr>
      </w:pPr>
      <w:r w:rsidRPr="008C6241">
        <w:rPr>
          <w:rFonts w:ascii="Arial" w:eastAsia="Arial" w:hAnsi="Arial" w:cs="Arial"/>
          <w:color w:val="000000"/>
          <w:sz w:val="20"/>
          <w:szCs w:val="20"/>
          <w:u w:color="000000"/>
          <w:bdr w:val="nil"/>
          <w:lang w:val="en-US"/>
        </w:rPr>
        <w:t xml:space="preserve">Calculating the Grade Distribution Tables is a task that in many institutions will be undertaken at centralised level. </w:t>
      </w:r>
      <w:r w:rsidRPr="00957287">
        <w:rPr>
          <w:rFonts w:ascii="Arial" w:eastAsia="Arial" w:hAnsi="Arial" w:cs="Arial"/>
          <w:color w:val="000000"/>
          <w:sz w:val="20"/>
          <w:szCs w:val="20"/>
          <w:u w:color="000000"/>
          <w:bdr w:val="nil"/>
          <w:lang w:val="en-US"/>
        </w:rPr>
        <w:t xml:space="preserve">The production of distribution tables should not </w:t>
      </w:r>
      <w:r>
        <w:rPr>
          <w:rFonts w:ascii="Arial" w:eastAsia="Arial" w:hAnsi="Arial" w:cs="Arial"/>
          <w:color w:val="000000"/>
          <w:sz w:val="20"/>
          <w:szCs w:val="20"/>
          <w:u w:color="000000"/>
          <w:bdr w:val="nil"/>
          <w:lang w:val="en-US"/>
        </w:rPr>
        <w:t>cause undue difficultie</w:t>
      </w:r>
      <w:r w:rsidRPr="00957287">
        <w:rPr>
          <w:rFonts w:ascii="Arial" w:eastAsia="Arial" w:hAnsi="Arial" w:cs="Arial"/>
          <w:color w:val="000000"/>
          <w:sz w:val="20"/>
          <w:szCs w:val="20"/>
          <w:u w:color="000000"/>
          <w:bdr w:val="nil"/>
          <w:lang w:val="en-US"/>
        </w:rPr>
        <w:t>s in institutions as the required data are generally available in institutional information systems and the calculation of percentages is easily done with simple software</w:t>
      </w:r>
      <w:r>
        <w:rPr>
          <w:rFonts w:ascii="Arial" w:eastAsia="Arial" w:hAnsi="Arial" w:cs="Arial"/>
          <w:color w:val="000000"/>
          <w:sz w:val="20"/>
          <w:szCs w:val="20"/>
          <w:u w:color="000000"/>
          <w:bdr w:val="nil"/>
          <w:lang w:val="en-US"/>
        </w:rPr>
        <w:t xml:space="preserve">. </w:t>
      </w:r>
      <w:r w:rsidRPr="008C6241">
        <w:rPr>
          <w:rFonts w:ascii="Arial" w:eastAsia="Arial" w:hAnsi="Arial" w:cs="Arial"/>
          <w:color w:val="000000"/>
          <w:sz w:val="20"/>
          <w:szCs w:val="20"/>
          <w:u w:color="000000"/>
          <w:bdr w:val="nil"/>
          <w:lang w:val="en-US"/>
        </w:rPr>
        <w:t>It only requires the following steps:</w:t>
      </w:r>
    </w:p>
    <w:p w:rsidR="0050169A" w:rsidRPr="008C6241" w:rsidRDefault="0050169A" w:rsidP="0050169A">
      <w:pPr>
        <w:numPr>
          <w:ilvl w:val="0"/>
          <w:numId w:val="32"/>
        </w:numPr>
        <w:pBdr>
          <w:top w:val="nil"/>
          <w:left w:val="nil"/>
          <w:bottom w:val="nil"/>
          <w:right w:val="nil"/>
          <w:between w:val="nil"/>
          <w:bar w:val="nil"/>
        </w:pBdr>
        <w:tabs>
          <w:tab w:val="left" w:pos="1134"/>
        </w:tabs>
        <w:suppressAutoHyphens/>
        <w:spacing w:after="120" w:line="264" w:lineRule="auto"/>
        <w:ind w:left="1134" w:hanging="708"/>
        <w:jc w:val="both"/>
        <w:rPr>
          <w:rFonts w:ascii="Arial" w:eastAsia="Arial" w:hAnsi="Arial" w:cs="Arial"/>
          <w:color w:val="000000"/>
          <w:sz w:val="20"/>
          <w:szCs w:val="20"/>
          <w:u w:color="000000"/>
          <w:bdr w:val="nil"/>
          <w:lang w:val="en-US"/>
        </w:rPr>
      </w:pPr>
      <w:r w:rsidRPr="008C6241">
        <w:rPr>
          <w:rFonts w:ascii="Arial" w:eastAsia="Arial" w:hAnsi="Arial" w:cs="Arial"/>
          <w:color w:val="000000"/>
          <w:sz w:val="20"/>
          <w:szCs w:val="20"/>
          <w:u w:color="000000"/>
          <w:bdr w:val="nil"/>
          <w:lang w:val="en-US"/>
        </w:rPr>
        <w:t xml:space="preserve">Identify the reference groups within your institution by using objective and transparent criteria which should be attached to the Grade Distribution Tables produced. </w:t>
      </w:r>
      <w:r>
        <w:rPr>
          <w:rFonts w:ascii="Arial" w:eastAsia="Arial" w:hAnsi="Arial" w:cs="Arial"/>
          <w:color w:val="000000"/>
          <w:sz w:val="20"/>
          <w:szCs w:val="20"/>
          <w:u w:color="000000"/>
          <w:bdr w:val="nil"/>
          <w:lang w:val="en-US"/>
        </w:rPr>
        <w:t>In the absence of methods based on comparable learning outcomes, i</w:t>
      </w:r>
      <w:r w:rsidRPr="008C6241">
        <w:rPr>
          <w:rFonts w:ascii="Arial" w:eastAsia="Arial" w:hAnsi="Arial" w:cs="Arial"/>
          <w:color w:val="000000"/>
          <w:sz w:val="20"/>
          <w:szCs w:val="20"/>
          <w:u w:color="000000"/>
          <w:bdr w:val="nil"/>
          <w:lang w:val="en-US"/>
        </w:rPr>
        <w:t>t is recommended to use the ISCED-F classification which offers a standardised and hierarchical classification of fields of study. In order to have reference groups that are large enough for a statistic</w:t>
      </w:r>
      <w:r>
        <w:rPr>
          <w:rFonts w:ascii="Arial" w:eastAsia="Arial" w:hAnsi="Arial" w:cs="Arial"/>
          <w:color w:val="000000"/>
          <w:sz w:val="20"/>
          <w:szCs w:val="20"/>
          <w:u w:color="000000"/>
          <w:bdr w:val="nil"/>
          <w:lang w:val="en-US"/>
        </w:rPr>
        <w:t>ally</w:t>
      </w:r>
      <w:r w:rsidRPr="008C6241">
        <w:rPr>
          <w:rFonts w:ascii="Arial" w:eastAsia="Arial" w:hAnsi="Arial" w:cs="Arial"/>
          <w:color w:val="000000"/>
          <w:sz w:val="20"/>
          <w:szCs w:val="20"/>
          <w:u w:color="000000"/>
          <w:bdr w:val="nil"/>
          <w:lang w:val="en-US"/>
        </w:rPr>
        <w:t xml:space="preserve"> relevant comparison, it is recommended to use an ISCED code </w:t>
      </w:r>
      <w:r>
        <w:rPr>
          <w:rFonts w:ascii="Arial" w:eastAsia="Arial" w:hAnsi="Arial" w:cs="Arial"/>
          <w:color w:val="000000"/>
          <w:sz w:val="20"/>
          <w:szCs w:val="20"/>
          <w:u w:color="000000"/>
          <w:bdr w:val="nil"/>
          <w:lang w:val="en-US"/>
        </w:rPr>
        <w:t>at the “narrow” or “detailed” levels UNESCO Institute for Statistics,2014)</w:t>
      </w:r>
      <w:r w:rsidRPr="008C6241">
        <w:rPr>
          <w:rFonts w:ascii="Times New Roman" w:eastAsia="Times New Roman" w:hAnsi="Times New Roman"/>
          <w:color w:val="000000"/>
          <w:sz w:val="20"/>
          <w:szCs w:val="20"/>
          <w:u w:color="000000"/>
          <w:bdr w:val="nil"/>
          <w:vertAlign w:val="superscript"/>
          <w:lang w:val="fr-FR"/>
        </w:rPr>
        <w:footnoteReference w:id="1"/>
      </w:r>
      <w:r w:rsidRPr="008C6241">
        <w:rPr>
          <w:rFonts w:ascii="Arial" w:eastAsia="Arial" w:hAnsi="Arial" w:cs="Arial"/>
          <w:color w:val="000000"/>
          <w:sz w:val="20"/>
          <w:szCs w:val="20"/>
          <w:u w:color="000000"/>
          <w:bdr w:val="nil"/>
          <w:lang w:val="en-US"/>
        </w:rPr>
        <w:t>.</w:t>
      </w:r>
    </w:p>
    <w:p w:rsidR="0050169A" w:rsidRPr="008C6241" w:rsidRDefault="0050169A" w:rsidP="0050169A">
      <w:pPr>
        <w:numPr>
          <w:ilvl w:val="0"/>
          <w:numId w:val="32"/>
        </w:numPr>
        <w:pBdr>
          <w:top w:val="nil"/>
          <w:left w:val="nil"/>
          <w:bottom w:val="nil"/>
          <w:right w:val="nil"/>
          <w:between w:val="nil"/>
          <w:bar w:val="nil"/>
        </w:pBdr>
        <w:tabs>
          <w:tab w:val="left" w:pos="1134"/>
        </w:tabs>
        <w:suppressAutoHyphens/>
        <w:spacing w:after="120" w:line="264" w:lineRule="auto"/>
        <w:ind w:left="1134" w:hanging="708"/>
        <w:jc w:val="both"/>
        <w:rPr>
          <w:rFonts w:ascii="Arial" w:eastAsia="Arial" w:hAnsi="Arial" w:cs="Arial"/>
          <w:color w:val="000000"/>
          <w:sz w:val="20"/>
          <w:szCs w:val="20"/>
          <w:u w:color="000000"/>
          <w:bdr w:val="nil"/>
          <w:lang w:val="en-US"/>
        </w:rPr>
      </w:pPr>
      <w:r w:rsidRPr="008C6241">
        <w:rPr>
          <w:rFonts w:ascii="Arial" w:eastAsia="Arial" w:hAnsi="Arial" w:cs="Arial"/>
          <w:color w:val="000000"/>
          <w:sz w:val="20"/>
          <w:szCs w:val="20"/>
          <w:u w:color="000000"/>
          <w:bdr w:val="nil"/>
          <w:lang w:val="en-US"/>
        </w:rPr>
        <w:t xml:space="preserve">Calculate the absolute number of passing grades awarded to each reference group identified in at least the last two years. Remember that information on success rates may be provided in general terms but not in this calculation. </w:t>
      </w:r>
    </w:p>
    <w:p w:rsidR="00585C2A" w:rsidRPr="0050169A" w:rsidRDefault="0050169A" w:rsidP="0050169A">
      <w:pPr>
        <w:numPr>
          <w:ilvl w:val="0"/>
          <w:numId w:val="32"/>
        </w:numPr>
        <w:pBdr>
          <w:top w:val="nil"/>
          <w:left w:val="nil"/>
          <w:bottom w:val="nil"/>
          <w:right w:val="nil"/>
          <w:between w:val="nil"/>
          <w:bar w:val="nil"/>
        </w:pBdr>
        <w:tabs>
          <w:tab w:val="left" w:pos="1134"/>
        </w:tabs>
        <w:suppressAutoHyphens/>
        <w:autoSpaceDE w:val="0"/>
        <w:autoSpaceDN w:val="0"/>
        <w:adjustRightInd w:val="0"/>
        <w:spacing w:after="0" w:line="240" w:lineRule="auto"/>
        <w:ind w:left="1134" w:hanging="708"/>
        <w:jc w:val="both"/>
        <w:rPr>
          <w:rFonts w:ascii="Times New Roman" w:hAnsi="Times New Roman" w:cs="Times New Roman"/>
          <w:sz w:val="24"/>
          <w:szCs w:val="24"/>
          <w:lang w:val="en-GB"/>
        </w:rPr>
      </w:pPr>
      <w:r w:rsidRPr="0050169A">
        <w:rPr>
          <w:rFonts w:ascii="Arial" w:eastAsia="Arial" w:hAnsi="Arial" w:cs="Arial"/>
          <w:color w:val="000000"/>
          <w:sz w:val="20"/>
          <w:szCs w:val="20"/>
          <w:u w:color="000000"/>
          <w:bdr w:val="nil"/>
          <w:lang w:val="en-US"/>
        </w:rPr>
        <w:t>Calculate the grade distribution in terms of percentages of the passing grades awarded to the reference group and develop cumulative percentages. As a result, there will be a Grade Distribution Table with percentages and cumulative percentages for each reference group identified.</w:t>
      </w:r>
      <w:r w:rsidR="007D2C19" w:rsidRPr="0050169A">
        <w:rPr>
          <w:rFonts w:ascii="Times New Roman" w:hAnsi="Times New Roman" w:cs="Times New Roman"/>
          <w:sz w:val="24"/>
          <w:szCs w:val="24"/>
          <w:lang w:val="en-GB"/>
        </w:rPr>
        <w:t>”</w:t>
      </w:r>
    </w:p>
    <w:p w:rsidR="00684311" w:rsidRDefault="00684311" w:rsidP="00990133">
      <w:pPr>
        <w:autoSpaceDE w:val="0"/>
        <w:autoSpaceDN w:val="0"/>
        <w:adjustRightInd w:val="0"/>
        <w:spacing w:after="0" w:line="240" w:lineRule="auto"/>
        <w:ind w:left="284" w:hanging="284"/>
        <w:jc w:val="both"/>
        <w:rPr>
          <w:rFonts w:ascii="Times New Roman" w:hAnsi="Times New Roman" w:cs="Times New Roman"/>
          <w:sz w:val="24"/>
          <w:szCs w:val="24"/>
          <w:lang w:val="en-GB"/>
        </w:rPr>
      </w:pPr>
    </w:p>
    <w:p w:rsidR="006B7D6C" w:rsidRDefault="006B7D6C" w:rsidP="00990133">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Grading tables can be </w:t>
      </w:r>
      <w:r w:rsidR="00F01C4A">
        <w:rPr>
          <w:rFonts w:ascii="Times New Roman" w:hAnsi="Times New Roman" w:cs="Times New Roman"/>
          <w:sz w:val="24"/>
          <w:szCs w:val="24"/>
          <w:lang w:val="en-GB"/>
        </w:rPr>
        <w:t>made</w:t>
      </w:r>
      <w:r>
        <w:rPr>
          <w:rFonts w:ascii="Times New Roman" w:hAnsi="Times New Roman" w:cs="Times New Roman"/>
          <w:sz w:val="24"/>
          <w:szCs w:val="24"/>
          <w:lang w:val="en-GB"/>
        </w:rPr>
        <w:t xml:space="preserve"> at various levels</w:t>
      </w:r>
      <w:r w:rsidR="001824E7">
        <w:rPr>
          <w:rFonts w:ascii="Times New Roman" w:hAnsi="Times New Roman" w:cs="Times New Roman"/>
          <w:sz w:val="24"/>
          <w:szCs w:val="24"/>
          <w:lang w:val="en-GB"/>
        </w:rPr>
        <w:t xml:space="preserve"> (e.g. per degree</w:t>
      </w:r>
      <w:r w:rsidR="00F01C4A">
        <w:rPr>
          <w:rFonts w:ascii="Times New Roman" w:hAnsi="Times New Roman" w:cs="Times New Roman"/>
          <w:sz w:val="24"/>
          <w:szCs w:val="24"/>
          <w:lang w:val="en-GB"/>
        </w:rPr>
        <w:t xml:space="preserve">, per ISCED F-2013 code, per Faculty </w:t>
      </w:r>
      <w:r w:rsidR="001824E7">
        <w:rPr>
          <w:rFonts w:ascii="Times New Roman" w:hAnsi="Times New Roman" w:cs="Times New Roman"/>
          <w:sz w:val="24"/>
          <w:szCs w:val="24"/>
          <w:lang w:val="en-GB"/>
        </w:rPr>
        <w:t xml:space="preserve">or </w:t>
      </w:r>
      <w:r w:rsidR="00F01C4A">
        <w:rPr>
          <w:rFonts w:ascii="Times New Roman" w:hAnsi="Times New Roman" w:cs="Times New Roman"/>
          <w:sz w:val="24"/>
          <w:szCs w:val="24"/>
          <w:lang w:val="en-GB"/>
        </w:rPr>
        <w:t xml:space="preserve">for </w:t>
      </w:r>
      <w:r w:rsidR="001824E7">
        <w:rPr>
          <w:rFonts w:ascii="Times New Roman" w:hAnsi="Times New Roman" w:cs="Times New Roman"/>
          <w:sz w:val="24"/>
          <w:szCs w:val="24"/>
          <w:lang w:val="en-GB"/>
        </w:rPr>
        <w:t>the whole HEI</w:t>
      </w:r>
      <w:r w:rsidR="00BE6766">
        <w:rPr>
          <w:rFonts w:ascii="Times New Roman" w:hAnsi="Times New Roman" w:cs="Times New Roman"/>
          <w:sz w:val="24"/>
          <w:szCs w:val="24"/>
          <w:lang w:val="en-GB"/>
        </w:rPr>
        <w:t xml:space="preserve">, even per course unit) </w:t>
      </w:r>
      <w:r>
        <w:rPr>
          <w:rFonts w:ascii="Times New Roman" w:hAnsi="Times New Roman" w:cs="Times New Roman"/>
          <w:sz w:val="24"/>
          <w:szCs w:val="24"/>
          <w:lang w:val="en-GB"/>
        </w:rPr>
        <w:t>and the da</w:t>
      </w:r>
      <w:r w:rsidR="00A54DD6">
        <w:rPr>
          <w:rFonts w:ascii="Times New Roman" w:hAnsi="Times New Roman" w:cs="Times New Roman"/>
          <w:sz w:val="24"/>
          <w:szCs w:val="24"/>
          <w:lang w:val="en-GB"/>
        </w:rPr>
        <w:t xml:space="preserve">ta can be used for various policy-related purposes, </w:t>
      </w:r>
      <w:r w:rsidR="001824E7">
        <w:rPr>
          <w:rFonts w:ascii="Times New Roman" w:hAnsi="Times New Roman" w:cs="Times New Roman"/>
          <w:sz w:val="24"/>
          <w:szCs w:val="24"/>
          <w:lang w:val="en-GB"/>
        </w:rPr>
        <w:t xml:space="preserve">but for the Egracons tool </w:t>
      </w:r>
      <w:r w:rsidR="00F01C4A">
        <w:rPr>
          <w:rFonts w:ascii="Times New Roman" w:hAnsi="Times New Roman" w:cs="Times New Roman"/>
          <w:sz w:val="24"/>
          <w:szCs w:val="24"/>
          <w:lang w:val="en-GB"/>
        </w:rPr>
        <w:t xml:space="preserve">we need </w:t>
      </w:r>
      <w:r w:rsidR="001824E7">
        <w:rPr>
          <w:rFonts w:ascii="Times New Roman" w:hAnsi="Times New Roman" w:cs="Times New Roman"/>
          <w:sz w:val="24"/>
          <w:szCs w:val="24"/>
          <w:lang w:val="en-GB"/>
        </w:rPr>
        <w:t>very specific grading tables</w:t>
      </w:r>
      <w:r w:rsidR="0038390D">
        <w:rPr>
          <w:rFonts w:ascii="Times New Roman" w:hAnsi="Times New Roman" w:cs="Times New Roman"/>
          <w:sz w:val="24"/>
          <w:szCs w:val="24"/>
          <w:lang w:val="en-GB"/>
        </w:rPr>
        <w:t xml:space="preserve"> </w:t>
      </w:r>
      <w:r w:rsidR="0050169A">
        <w:rPr>
          <w:rFonts w:ascii="Times New Roman" w:hAnsi="Times New Roman" w:cs="Times New Roman"/>
          <w:sz w:val="24"/>
          <w:szCs w:val="24"/>
          <w:lang w:val="en-GB"/>
        </w:rPr>
        <w:t>per degree but with ISCED codes assigned to each degree. The Egracons Tool will then calculate the grading tables used for comparison per ISCED code (se</w:t>
      </w:r>
      <w:r w:rsidR="0038390D">
        <w:rPr>
          <w:rFonts w:ascii="Times New Roman" w:hAnsi="Times New Roman" w:cs="Times New Roman"/>
          <w:sz w:val="24"/>
          <w:szCs w:val="24"/>
          <w:lang w:val="en-GB"/>
        </w:rPr>
        <w:t xml:space="preserve">e separate step by </w:t>
      </w:r>
      <w:r w:rsidR="00E80EF6">
        <w:rPr>
          <w:rFonts w:ascii="Times New Roman" w:hAnsi="Times New Roman" w:cs="Times New Roman"/>
          <w:sz w:val="24"/>
          <w:szCs w:val="24"/>
          <w:lang w:val="en-GB"/>
        </w:rPr>
        <w:t xml:space="preserve">step </w:t>
      </w:r>
      <w:hyperlink r:id="rId11" w:history="1">
        <w:r w:rsidR="00E80EF6" w:rsidRPr="0050169A">
          <w:rPr>
            <w:rStyle w:val="Hyperlink"/>
            <w:rFonts w:ascii="Times New Roman" w:hAnsi="Times New Roman" w:cs="Times New Roman"/>
            <w:sz w:val="24"/>
            <w:szCs w:val="24"/>
            <w:lang w:val="en-GB"/>
          </w:rPr>
          <w:t>instructions</w:t>
        </w:r>
        <w:r w:rsidR="0050169A" w:rsidRPr="0050169A">
          <w:rPr>
            <w:rStyle w:val="Hyperlink"/>
            <w:rFonts w:ascii="Times New Roman" w:hAnsi="Times New Roman" w:cs="Times New Roman"/>
            <w:sz w:val="24"/>
            <w:szCs w:val="24"/>
            <w:lang w:val="en-GB"/>
          </w:rPr>
          <w:t xml:space="preserve"> for grading table data template</w:t>
        </w:r>
      </w:hyperlink>
      <w:r w:rsidR="0038390D">
        <w:rPr>
          <w:rFonts w:ascii="Times New Roman" w:hAnsi="Times New Roman" w:cs="Times New Roman"/>
          <w:sz w:val="24"/>
          <w:szCs w:val="24"/>
          <w:lang w:val="en-GB"/>
        </w:rPr>
        <w:t>)</w:t>
      </w:r>
      <w:r w:rsidR="00B30C9E">
        <w:rPr>
          <w:rFonts w:ascii="Times New Roman" w:hAnsi="Times New Roman" w:cs="Times New Roman"/>
          <w:sz w:val="24"/>
          <w:szCs w:val="24"/>
          <w:lang w:val="en-GB"/>
        </w:rPr>
        <w:t>.</w:t>
      </w:r>
    </w:p>
    <w:p w:rsidR="00141F31" w:rsidRDefault="00141F31" w:rsidP="00990133">
      <w:pPr>
        <w:autoSpaceDE w:val="0"/>
        <w:autoSpaceDN w:val="0"/>
        <w:adjustRightInd w:val="0"/>
        <w:spacing w:after="0" w:line="240" w:lineRule="auto"/>
        <w:jc w:val="both"/>
        <w:rPr>
          <w:rFonts w:ascii="Times New Roman" w:hAnsi="Times New Roman" w:cs="Times New Roman"/>
          <w:sz w:val="24"/>
          <w:szCs w:val="24"/>
          <w:lang w:val="en-GB"/>
        </w:rPr>
      </w:pPr>
    </w:p>
    <w:p w:rsidR="00141F31" w:rsidRPr="00141F31" w:rsidRDefault="00141F31" w:rsidP="00141F31">
      <w:pPr>
        <w:autoSpaceDE w:val="0"/>
        <w:autoSpaceDN w:val="0"/>
        <w:adjustRightInd w:val="0"/>
        <w:spacing w:after="0" w:line="240" w:lineRule="auto"/>
        <w:ind w:left="284" w:hanging="284"/>
        <w:jc w:val="both"/>
        <w:rPr>
          <w:rFonts w:ascii="Times New Roman" w:hAnsi="Times New Roman" w:cs="Times New Roman"/>
          <w:b/>
          <w:sz w:val="32"/>
          <w:szCs w:val="32"/>
          <w:u w:val="single"/>
          <w:lang w:val="en-GB"/>
        </w:rPr>
      </w:pPr>
      <w:r w:rsidRPr="00141F31">
        <w:rPr>
          <w:rFonts w:ascii="Times New Roman" w:hAnsi="Times New Roman" w:cs="Times New Roman"/>
          <w:b/>
          <w:sz w:val="32"/>
          <w:szCs w:val="32"/>
          <w:u w:val="single"/>
          <w:lang w:val="en-GB"/>
        </w:rPr>
        <w:t xml:space="preserve">Grading table versus Grading scale </w:t>
      </w:r>
    </w:p>
    <w:p w:rsidR="007D2C19" w:rsidRDefault="007D2C19" w:rsidP="00990133">
      <w:pPr>
        <w:autoSpaceDE w:val="0"/>
        <w:autoSpaceDN w:val="0"/>
        <w:adjustRightInd w:val="0"/>
        <w:spacing w:after="0" w:line="240" w:lineRule="auto"/>
        <w:ind w:left="284" w:hanging="284"/>
        <w:jc w:val="both"/>
        <w:rPr>
          <w:rFonts w:ascii="Times New Roman" w:hAnsi="Times New Roman" w:cs="Times New Roman"/>
          <w:sz w:val="24"/>
          <w:szCs w:val="24"/>
          <w:lang w:val="en-GB"/>
        </w:rPr>
      </w:pPr>
    </w:p>
    <w:p w:rsidR="00141F31" w:rsidRDefault="00141F31" w:rsidP="00141F31">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grading scale is the scale used to allocate grades in a HEI. </w:t>
      </w:r>
      <w:r w:rsidR="0050169A">
        <w:rPr>
          <w:rFonts w:ascii="Times New Roman" w:hAnsi="Times New Roman" w:cs="Times New Roman"/>
          <w:sz w:val="24"/>
          <w:szCs w:val="24"/>
          <w:lang w:val="en-GB"/>
        </w:rPr>
        <w:t xml:space="preserve">In the scale you have passing grades and fail grades. They are usually shown from low to high grades. IN Egracons only pass grades are taken into considerations, since fail grades do not lead to credits and hence do not need to be </w:t>
      </w:r>
      <w:r w:rsidR="0050169A">
        <w:rPr>
          <w:rFonts w:ascii="Times New Roman" w:hAnsi="Times New Roman" w:cs="Times New Roman"/>
          <w:sz w:val="24"/>
          <w:szCs w:val="24"/>
          <w:lang w:val="en-GB"/>
        </w:rPr>
        <w:lastRenderedPageBreak/>
        <w:t xml:space="preserve">converted. </w:t>
      </w:r>
      <w:r>
        <w:rPr>
          <w:rFonts w:ascii="Times New Roman" w:hAnsi="Times New Roman" w:cs="Times New Roman"/>
          <w:sz w:val="24"/>
          <w:szCs w:val="24"/>
          <w:lang w:val="en-GB"/>
        </w:rPr>
        <w:t xml:space="preserve">Grading scales differ from country to country, and may differ from </w:t>
      </w:r>
      <w:r w:rsidR="0050169A">
        <w:rPr>
          <w:rFonts w:ascii="Times New Roman" w:hAnsi="Times New Roman" w:cs="Times New Roman"/>
          <w:sz w:val="24"/>
          <w:szCs w:val="24"/>
          <w:lang w:val="en-GB"/>
        </w:rPr>
        <w:t>university to university,</w:t>
      </w:r>
      <w:r>
        <w:rPr>
          <w:rFonts w:ascii="Times New Roman" w:hAnsi="Times New Roman" w:cs="Times New Roman"/>
          <w:sz w:val="24"/>
          <w:szCs w:val="24"/>
          <w:lang w:val="en-GB"/>
        </w:rPr>
        <w:t xml:space="preserve"> from Faculty to Faculty</w:t>
      </w:r>
      <w:r w:rsidR="0050169A">
        <w:rPr>
          <w:rFonts w:ascii="Times New Roman" w:hAnsi="Times New Roman" w:cs="Times New Roman"/>
          <w:sz w:val="24"/>
          <w:szCs w:val="24"/>
          <w:lang w:val="en-GB"/>
        </w:rPr>
        <w:t xml:space="preserve"> or from degree to degree</w:t>
      </w:r>
      <w:r>
        <w:rPr>
          <w:rFonts w:ascii="Times New Roman" w:hAnsi="Times New Roman" w:cs="Times New Roman"/>
          <w:sz w:val="24"/>
          <w:szCs w:val="24"/>
          <w:lang w:val="en-GB"/>
        </w:rPr>
        <w:t xml:space="preserve">. </w:t>
      </w:r>
      <w:r w:rsidR="0050169A">
        <w:rPr>
          <w:rFonts w:ascii="Times New Roman" w:hAnsi="Times New Roman" w:cs="Times New Roman"/>
          <w:sz w:val="24"/>
          <w:szCs w:val="24"/>
          <w:lang w:val="en-GB"/>
        </w:rPr>
        <w:t>Since Egracons works with ISCED codes, t</w:t>
      </w:r>
      <w:r>
        <w:rPr>
          <w:rFonts w:ascii="Times New Roman" w:hAnsi="Times New Roman" w:cs="Times New Roman"/>
          <w:sz w:val="24"/>
          <w:szCs w:val="24"/>
          <w:lang w:val="en-GB"/>
        </w:rPr>
        <w:t>he Egracons project assumes th</w:t>
      </w:r>
      <w:r w:rsidR="0050169A">
        <w:rPr>
          <w:rFonts w:ascii="Times New Roman" w:hAnsi="Times New Roman" w:cs="Times New Roman"/>
          <w:sz w:val="24"/>
          <w:szCs w:val="24"/>
          <w:lang w:val="en-GB"/>
        </w:rPr>
        <w:t>at the scales</w:t>
      </w:r>
      <w:r>
        <w:rPr>
          <w:rFonts w:ascii="Times New Roman" w:hAnsi="Times New Roman" w:cs="Times New Roman"/>
          <w:sz w:val="24"/>
          <w:szCs w:val="24"/>
          <w:lang w:val="en-GB"/>
        </w:rPr>
        <w:t xml:space="preserve"> do not differ with</w:t>
      </w:r>
      <w:r w:rsidR="0050169A">
        <w:rPr>
          <w:rFonts w:ascii="Times New Roman" w:hAnsi="Times New Roman" w:cs="Times New Roman"/>
          <w:sz w:val="24"/>
          <w:szCs w:val="24"/>
          <w:lang w:val="en-GB"/>
        </w:rPr>
        <w:t>in the same study field</w:t>
      </w:r>
      <w:r>
        <w:rPr>
          <w:rFonts w:ascii="Times New Roman" w:hAnsi="Times New Roman" w:cs="Times New Roman"/>
          <w:sz w:val="24"/>
          <w:szCs w:val="24"/>
          <w:lang w:val="en-GB"/>
        </w:rPr>
        <w:t xml:space="preserve">. </w:t>
      </w:r>
    </w:p>
    <w:p w:rsidR="00F56046" w:rsidRDefault="00F56046" w:rsidP="00141F31">
      <w:pPr>
        <w:autoSpaceDE w:val="0"/>
        <w:autoSpaceDN w:val="0"/>
        <w:adjustRightInd w:val="0"/>
        <w:spacing w:after="0" w:line="240" w:lineRule="auto"/>
        <w:jc w:val="both"/>
        <w:rPr>
          <w:rFonts w:ascii="Times New Roman" w:hAnsi="Times New Roman" w:cs="Times New Roman"/>
          <w:sz w:val="24"/>
          <w:szCs w:val="24"/>
          <w:lang w:val="en-GB"/>
        </w:rPr>
      </w:pPr>
    </w:p>
    <w:p w:rsidR="00141F31" w:rsidRDefault="00141F31" w:rsidP="00141F31">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Some examples:</w:t>
      </w:r>
    </w:p>
    <w:tbl>
      <w:tblPr>
        <w:tblStyle w:val="Tabelraster"/>
        <w:tblW w:w="9889" w:type="dxa"/>
        <w:tblLayout w:type="fixed"/>
        <w:tblLook w:val="04A0" w:firstRow="1" w:lastRow="0" w:firstColumn="1" w:lastColumn="0" w:noHBand="0" w:noVBand="1"/>
      </w:tblPr>
      <w:tblGrid>
        <w:gridCol w:w="959"/>
        <w:gridCol w:w="708"/>
        <w:gridCol w:w="709"/>
        <w:gridCol w:w="567"/>
        <w:gridCol w:w="709"/>
        <w:gridCol w:w="709"/>
        <w:gridCol w:w="567"/>
        <w:gridCol w:w="709"/>
        <w:gridCol w:w="708"/>
        <w:gridCol w:w="709"/>
        <w:gridCol w:w="567"/>
        <w:gridCol w:w="567"/>
        <w:gridCol w:w="567"/>
        <w:gridCol w:w="425"/>
        <w:gridCol w:w="709"/>
      </w:tblGrid>
      <w:tr w:rsidR="00141F31" w:rsidRPr="000A6449" w:rsidTr="0070266A">
        <w:trPr>
          <w:trHeight w:val="290"/>
        </w:trPr>
        <w:tc>
          <w:tcPr>
            <w:tcW w:w="959" w:type="dxa"/>
            <w:noWrap/>
            <w:vAlign w:val="center"/>
            <w:hideMark/>
          </w:tcPr>
          <w:p w:rsidR="00141F31" w:rsidRPr="000A6449" w:rsidRDefault="00141F31" w:rsidP="00896CA5">
            <w:pPr>
              <w:ind w:hanging="142"/>
              <w:jc w:val="right"/>
              <w:rPr>
                <w:b/>
                <w:sz w:val="16"/>
                <w:szCs w:val="16"/>
                <w:lang w:val="en-US"/>
              </w:rPr>
            </w:pPr>
            <w:r w:rsidRPr="000A6449">
              <w:rPr>
                <w:b/>
                <w:sz w:val="16"/>
                <w:szCs w:val="16"/>
                <w:lang w:val="en-US"/>
              </w:rPr>
              <w:t>Italy</w:t>
            </w:r>
          </w:p>
        </w:tc>
        <w:tc>
          <w:tcPr>
            <w:tcW w:w="708"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18</w:t>
            </w:r>
          </w:p>
        </w:tc>
        <w:tc>
          <w:tcPr>
            <w:tcW w:w="709"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19</w:t>
            </w:r>
          </w:p>
        </w:tc>
        <w:tc>
          <w:tcPr>
            <w:tcW w:w="567"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20</w:t>
            </w:r>
          </w:p>
        </w:tc>
        <w:tc>
          <w:tcPr>
            <w:tcW w:w="709"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21</w:t>
            </w:r>
          </w:p>
        </w:tc>
        <w:tc>
          <w:tcPr>
            <w:tcW w:w="709"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22</w:t>
            </w:r>
          </w:p>
        </w:tc>
        <w:tc>
          <w:tcPr>
            <w:tcW w:w="567"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23</w:t>
            </w:r>
          </w:p>
        </w:tc>
        <w:tc>
          <w:tcPr>
            <w:tcW w:w="709"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24</w:t>
            </w:r>
          </w:p>
        </w:tc>
        <w:tc>
          <w:tcPr>
            <w:tcW w:w="708"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25</w:t>
            </w:r>
          </w:p>
        </w:tc>
        <w:tc>
          <w:tcPr>
            <w:tcW w:w="709"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26</w:t>
            </w:r>
          </w:p>
        </w:tc>
        <w:tc>
          <w:tcPr>
            <w:tcW w:w="567"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27</w:t>
            </w:r>
          </w:p>
        </w:tc>
        <w:tc>
          <w:tcPr>
            <w:tcW w:w="567"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28</w:t>
            </w:r>
          </w:p>
        </w:tc>
        <w:tc>
          <w:tcPr>
            <w:tcW w:w="567"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29</w:t>
            </w:r>
          </w:p>
        </w:tc>
        <w:tc>
          <w:tcPr>
            <w:tcW w:w="425"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30</w:t>
            </w:r>
          </w:p>
        </w:tc>
        <w:tc>
          <w:tcPr>
            <w:tcW w:w="709"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30 cum laude</w:t>
            </w:r>
          </w:p>
        </w:tc>
      </w:tr>
      <w:tr w:rsidR="00141F31" w:rsidRPr="000A6449" w:rsidTr="0070266A">
        <w:trPr>
          <w:trHeight w:val="290"/>
        </w:trPr>
        <w:tc>
          <w:tcPr>
            <w:tcW w:w="959" w:type="dxa"/>
            <w:noWrap/>
            <w:vAlign w:val="center"/>
            <w:hideMark/>
          </w:tcPr>
          <w:p w:rsidR="00141F31" w:rsidRPr="000A6449" w:rsidRDefault="00141F31" w:rsidP="00896CA5">
            <w:pPr>
              <w:ind w:hanging="142"/>
              <w:jc w:val="right"/>
              <w:rPr>
                <w:b/>
                <w:sz w:val="16"/>
                <w:szCs w:val="16"/>
                <w:lang w:val="en-US"/>
              </w:rPr>
            </w:pPr>
            <w:r w:rsidRPr="000A6449">
              <w:rPr>
                <w:b/>
                <w:sz w:val="16"/>
                <w:szCs w:val="16"/>
                <w:lang w:val="en-US"/>
              </w:rPr>
              <w:t>Belgium</w:t>
            </w:r>
          </w:p>
        </w:tc>
        <w:tc>
          <w:tcPr>
            <w:tcW w:w="708"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10</w:t>
            </w:r>
          </w:p>
        </w:tc>
        <w:tc>
          <w:tcPr>
            <w:tcW w:w="709"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11</w:t>
            </w:r>
          </w:p>
        </w:tc>
        <w:tc>
          <w:tcPr>
            <w:tcW w:w="567"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12</w:t>
            </w:r>
          </w:p>
        </w:tc>
        <w:tc>
          <w:tcPr>
            <w:tcW w:w="709"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13</w:t>
            </w:r>
          </w:p>
        </w:tc>
        <w:tc>
          <w:tcPr>
            <w:tcW w:w="709"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14</w:t>
            </w:r>
          </w:p>
        </w:tc>
        <w:tc>
          <w:tcPr>
            <w:tcW w:w="567"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15</w:t>
            </w:r>
          </w:p>
        </w:tc>
        <w:tc>
          <w:tcPr>
            <w:tcW w:w="709"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16</w:t>
            </w:r>
          </w:p>
        </w:tc>
        <w:tc>
          <w:tcPr>
            <w:tcW w:w="708"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17</w:t>
            </w:r>
          </w:p>
        </w:tc>
        <w:tc>
          <w:tcPr>
            <w:tcW w:w="709"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18</w:t>
            </w:r>
          </w:p>
        </w:tc>
        <w:tc>
          <w:tcPr>
            <w:tcW w:w="567"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19</w:t>
            </w:r>
          </w:p>
        </w:tc>
        <w:tc>
          <w:tcPr>
            <w:tcW w:w="567"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20</w:t>
            </w:r>
          </w:p>
        </w:tc>
        <w:tc>
          <w:tcPr>
            <w:tcW w:w="567" w:type="dxa"/>
            <w:noWrap/>
            <w:vAlign w:val="center"/>
            <w:hideMark/>
          </w:tcPr>
          <w:p w:rsidR="00141F31" w:rsidRPr="000A6449" w:rsidRDefault="00141F31" w:rsidP="00896CA5">
            <w:pPr>
              <w:ind w:hanging="142"/>
              <w:jc w:val="center"/>
              <w:rPr>
                <w:b/>
                <w:sz w:val="16"/>
                <w:szCs w:val="16"/>
                <w:lang w:val="en-US"/>
              </w:rPr>
            </w:pPr>
          </w:p>
        </w:tc>
        <w:tc>
          <w:tcPr>
            <w:tcW w:w="425" w:type="dxa"/>
            <w:noWrap/>
            <w:vAlign w:val="center"/>
            <w:hideMark/>
          </w:tcPr>
          <w:p w:rsidR="00141F31" w:rsidRPr="000A6449" w:rsidRDefault="00141F31" w:rsidP="00896CA5">
            <w:pPr>
              <w:ind w:hanging="142"/>
              <w:jc w:val="center"/>
              <w:rPr>
                <w:b/>
                <w:sz w:val="16"/>
                <w:szCs w:val="16"/>
                <w:lang w:val="en-US"/>
              </w:rPr>
            </w:pPr>
          </w:p>
        </w:tc>
        <w:tc>
          <w:tcPr>
            <w:tcW w:w="709" w:type="dxa"/>
            <w:noWrap/>
            <w:vAlign w:val="center"/>
            <w:hideMark/>
          </w:tcPr>
          <w:p w:rsidR="00141F31" w:rsidRPr="000A6449" w:rsidRDefault="00141F31" w:rsidP="00896CA5">
            <w:pPr>
              <w:ind w:hanging="142"/>
              <w:jc w:val="center"/>
              <w:rPr>
                <w:b/>
                <w:sz w:val="16"/>
                <w:szCs w:val="16"/>
                <w:lang w:val="en-US"/>
              </w:rPr>
            </w:pPr>
          </w:p>
        </w:tc>
      </w:tr>
      <w:tr w:rsidR="00141F31" w:rsidRPr="000A6449" w:rsidTr="0070266A">
        <w:trPr>
          <w:trHeight w:val="290"/>
        </w:trPr>
        <w:tc>
          <w:tcPr>
            <w:tcW w:w="959" w:type="dxa"/>
            <w:noWrap/>
            <w:vAlign w:val="center"/>
            <w:hideMark/>
          </w:tcPr>
          <w:p w:rsidR="00141F31" w:rsidRPr="000A6449" w:rsidRDefault="00141F31" w:rsidP="00896CA5">
            <w:pPr>
              <w:ind w:hanging="142"/>
              <w:jc w:val="right"/>
              <w:rPr>
                <w:b/>
                <w:sz w:val="16"/>
                <w:szCs w:val="16"/>
                <w:lang w:val="en-US"/>
              </w:rPr>
            </w:pPr>
            <w:r w:rsidRPr="000A6449">
              <w:rPr>
                <w:b/>
                <w:sz w:val="16"/>
                <w:szCs w:val="16"/>
                <w:lang w:val="en-US"/>
              </w:rPr>
              <w:t>Netherlands</w:t>
            </w:r>
          </w:p>
        </w:tc>
        <w:tc>
          <w:tcPr>
            <w:tcW w:w="708"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6</w:t>
            </w:r>
          </w:p>
        </w:tc>
        <w:tc>
          <w:tcPr>
            <w:tcW w:w="709"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7</w:t>
            </w:r>
          </w:p>
        </w:tc>
        <w:tc>
          <w:tcPr>
            <w:tcW w:w="567"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8</w:t>
            </w:r>
          </w:p>
        </w:tc>
        <w:tc>
          <w:tcPr>
            <w:tcW w:w="709"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9</w:t>
            </w:r>
          </w:p>
        </w:tc>
        <w:tc>
          <w:tcPr>
            <w:tcW w:w="709" w:type="dxa"/>
            <w:noWrap/>
            <w:vAlign w:val="center"/>
            <w:hideMark/>
          </w:tcPr>
          <w:p w:rsidR="00141F31" w:rsidRPr="000A6449" w:rsidRDefault="00141F31" w:rsidP="00896CA5">
            <w:pPr>
              <w:ind w:hanging="142"/>
              <w:jc w:val="center"/>
              <w:rPr>
                <w:b/>
                <w:sz w:val="16"/>
                <w:szCs w:val="16"/>
              </w:rPr>
            </w:pPr>
            <w:r w:rsidRPr="000A6449">
              <w:rPr>
                <w:b/>
                <w:sz w:val="16"/>
                <w:szCs w:val="16"/>
                <w:lang w:val="en-US"/>
              </w:rPr>
              <w:t>1</w:t>
            </w:r>
            <w:r w:rsidRPr="000A6449">
              <w:rPr>
                <w:b/>
                <w:sz w:val="16"/>
                <w:szCs w:val="16"/>
              </w:rPr>
              <w:t>0</w:t>
            </w:r>
          </w:p>
        </w:tc>
        <w:tc>
          <w:tcPr>
            <w:tcW w:w="567" w:type="dxa"/>
            <w:noWrap/>
            <w:vAlign w:val="center"/>
            <w:hideMark/>
          </w:tcPr>
          <w:p w:rsidR="00141F31" w:rsidRPr="000A6449" w:rsidRDefault="00141F31" w:rsidP="00896CA5">
            <w:pPr>
              <w:ind w:hanging="142"/>
              <w:jc w:val="center"/>
              <w:rPr>
                <w:b/>
                <w:sz w:val="16"/>
                <w:szCs w:val="16"/>
              </w:rPr>
            </w:pPr>
          </w:p>
        </w:tc>
        <w:tc>
          <w:tcPr>
            <w:tcW w:w="709" w:type="dxa"/>
            <w:noWrap/>
            <w:vAlign w:val="center"/>
            <w:hideMark/>
          </w:tcPr>
          <w:p w:rsidR="00141F31" w:rsidRPr="000A6449" w:rsidRDefault="00141F31" w:rsidP="00896CA5">
            <w:pPr>
              <w:ind w:hanging="142"/>
              <w:jc w:val="center"/>
              <w:rPr>
                <w:b/>
                <w:sz w:val="16"/>
                <w:szCs w:val="16"/>
              </w:rPr>
            </w:pPr>
          </w:p>
        </w:tc>
        <w:tc>
          <w:tcPr>
            <w:tcW w:w="708" w:type="dxa"/>
            <w:noWrap/>
            <w:vAlign w:val="center"/>
            <w:hideMark/>
          </w:tcPr>
          <w:p w:rsidR="00141F31" w:rsidRPr="000A6449" w:rsidRDefault="00141F31" w:rsidP="00896CA5">
            <w:pPr>
              <w:ind w:hanging="142"/>
              <w:jc w:val="center"/>
              <w:rPr>
                <w:b/>
                <w:sz w:val="16"/>
                <w:szCs w:val="16"/>
              </w:rPr>
            </w:pPr>
          </w:p>
        </w:tc>
        <w:tc>
          <w:tcPr>
            <w:tcW w:w="709" w:type="dxa"/>
            <w:noWrap/>
            <w:vAlign w:val="center"/>
            <w:hideMark/>
          </w:tcPr>
          <w:p w:rsidR="00141F31" w:rsidRPr="000A6449" w:rsidRDefault="00141F31" w:rsidP="00896CA5">
            <w:pPr>
              <w:ind w:hanging="142"/>
              <w:jc w:val="center"/>
              <w:rPr>
                <w:b/>
                <w:sz w:val="16"/>
                <w:szCs w:val="16"/>
              </w:rPr>
            </w:pPr>
          </w:p>
        </w:tc>
        <w:tc>
          <w:tcPr>
            <w:tcW w:w="567" w:type="dxa"/>
            <w:noWrap/>
            <w:vAlign w:val="center"/>
            <w:hideMark/>
          </w:tcPr>
          <w:p w:rsidR="00141F31" w:rsidRPr="000A6449" w:rsidRDefault="00141F31" w:rsidP="00896CA5">
            <w:pPr>
              <w:ind w:hanging="142"/>
              <w:jc w:val="center"/>
              <w:rPr>
                <w:b/>
                <w:sz w:val="16"/>
                <w:szCs w:val="16"/>
              </w:rPr>
            </w:pPr>
          </w:p>
        </w:tc>
        <w:tc>
          <w:tcPr>
            <w:tcW w:w="567" w:type="dxa"/>
            <w:noWrap/>
            <w:vAlign w:val="center"/>
            <w:hideMark/>
          </w:tcPr>
          <w:p w:rsidR="00141F31" w:rsidRPr="000A6449" w:rsidRDefault="00141F31" w:rsidP="00896CA5">
            <w:pPr>
              <w:ind w:hanging="142"/>
              <w:jc w:val="center"/>
              <w:rPr>
                <w:b/>
                <w:sz w:val="16"/>
                <w:szCs w:val="16"/>
              </w:rPr>
            </w:pPr>
          </w:p>
        </w:tc>
        <w:tc>
          <w:tcPr>
            <w:tcW w:w="567" w:type="dxa"/>
            <w:noWrap/>
            <w:vAlign w:val="center"/>
            <w:hideMark/>
          </w:tcPr>
          <w:p w:rsidR="00141F31" w:rsidRPr="000A6449" w:rsidRDefault="00141F31" w:rsidP="00896CA5">
            <w:pPr>
              <w:ind w:hanging="142"/>
              <w:jc w:val="center"/>
              <w:rPr>
                <w:b/>
                <w:sz w:val="16"/>
                <w:szCs w:val="16"/>
              </w:rPr>
            </w:pPr>
          </w:p>
        </w:tc>
        <w:tc>
          <w:tcPr>
            <w:tcW w:w="425" w:type="dxa"/>
            <w:noWrap/>
            <w:vAlign w:val="center"/>
            <w:hideMark/>
          </w:tcPr>
          <w:p w:rsidR="00141F31" w:rsidRPr="000A6449" w:rsidRDefault="00141F31" w:rsidP="00896CA5">
            <w:pPr>
              <w:ind w:hanging="142"/>
              <w:jc w:val="center"/>
              <w:rPr>
                <w:b/>
                <w:sz w:val="16"/>
                <w:szCs w:val="16"/>
              </w:rPr>
            </w:pPr>
          </w:p>
        </w:tc>
        <w:tc>
          <w:tcPr>
            <w:tcW w:w="709" w:type="dxa"/>
            <w:noWrap/>
            <w:vAlign w:val="center"/>
            <w:hideMark/>
          </w:tcPr>
          <w:p w:rsidR="00141F31" w:rsidRPr="000A6449" w:rsidRDefault="00141F31" w:rsidP="00896CA5">
            <w:pPr>
              <w:ind w:hanging="142"/>
              <w:jc w:val="center"/>
              <w:rPr>
                <w:b/>
                <w:sz w:val="16"/>
                <w:szCs w:val="16"/>
              </w:rPr>
            </w:pPr>
          </w:p>
        </w:tc>
      </w:tr>
      <w:tr w:rsidR="00141F31" w:rsidRPr="000A6449" w:rsidTr="0070266A">
        <w:trPr>
          <w:trHeight w:val="290"/>
        </w:trPr>
        <w:tc>
          <w:tcPr>
            <w:tcW w:w="959" w:type="dxa"/>
            <w:noWrap/>
            <w:vAlign w:val="center"/>
            <w:hideMark/>
          </w:tcPr>
          <w:p w:rsidR="00141F31" w:rsidRPr="000A6449" w:rsidRDefault="00141F31" w:rsidP="00896CA5">
            <w:pPr>
              <w:ind w:hanging="142"/>
              <w:jc w:val="right"/>
              <w:rPr>
                <w:b/>
                <w:sz w:val="16"/>
                <w:szCs w:val="16"/>
              </w:rPr>
            </w:pPr>
            <w:r w:rsidRPr="000A6449">
              <w:rPr>
                <w:b/>
                <w:sz w:val="16"/>
                <w:szCs w:val="16"/>
              </w:rPr>
              <w:t>Spain</w:t>
            </w:r>
          </w:p>
        </w:tc>
        <w:tc>
          <w:tcPr>
            <w:tcW w:w="708" w:type="dxa"/>
            <w:noWrap/>
            <w:vAlign w:val="center"/>
            <w:hideMark/>
          </w:tcPr>
          <w:p w:rsidR="00141F31" w:rsidRPr="000A6449" w:rsidRDefault="00141F31" w:rsidP="00896CA5">
            <w:pPr>
              <w:ind w:hanging="142"/>
              <w:jc w:val="center"/>
              <w:rPr>
                <w:b/>
                <w:sz w:val="16"/>
                <w:szCs w:val="16"/>
              </w:rPr>
            </w:pPr>
            <w:r w:rsidRPr="000A6449">
              <w:rPr>
                <w:b/>
                <w:sz w:val="16"/>
                <w:szCs w:val="16"/>
              </w:rPr>
              <w:t>5,00 - 5,49</w:t>
            </w:r>
          </w:p>
        </w:tc>
        <w:tc>
          <w:tcPr>
            <w:tcW w:w="709" w:type="dxa"/>
            <w:noWrap/>
            <w:vAlign w:val="center"/>
            <w:hideMark/>
          </w:tcPr>
          <w:p w:rsidR="00141F31" w:rsidRPr="000A6449" w:rsidRDefault="00141F31" w:rsidP="00896CA5">
            <w:pPr>
              <w:ind w:hanging="142"/>
              <w:jc w:val="center"/>
              <w:rPr>
                <w:b/>
                <w:sz w:val="16"/>
                <w:szCs w:val="16"/>
              </w:rPr>
            </w:pPr>
            <w:r w:rsidRPr="000A6449">
              <w:rPr>
                <w:b/>
                <w:sz w:val="16"/>
                <w:szCs w:val="16"/>
              </w:rPr>
              <w:t>5,50 - 5,99</w:t>
            </w:r>
          </w:p>
        </w:tc>
        <w:tc>
          <w:tcPr>
            <w:tcW w:w="567" w:type="dxa"/>
            <w:noWrap/>
            <w:vAlign w:val="center"/>
            <w:hideMark/>
          </w:tcPr>
          <w:p w:rsidR="00141F31" w:rsidRPr="000A6449" w:rsidRDefault="00141F31" w:rsidP="00896CA5">
            <w:pPr>
              <w:ind w:hanging="142"/>
              <w:jc w:val="center"/>
              <w:rPr>
                <w:b/>
                <w:sz w:val="16"/>
                <w:szCs w:val="16"/>
              </w:rPr>
            </w:pPr>
            <w:r w:rsidRPr="000A6449">
              <w:rPr>
                <w:b/>
                <w:sz w:val="16"/>
                <w:szCs w:val="16"/>
              </w:rPr>
              <w:t>6,00 - 6,49</w:t>
            </w:r>
          </w:p>
        </w:tc>
        <w:tc>
          <w:tcPr>
            <w:tcW w:w="709" w:type="dxa"/>
            <w:noWrap/>
            <w:vAlign w:val="center"/>
            <w:hideMark/>
          </w:tcPr>
          <w:p w:rsidR="00141F31" w:rsidRPr="000A6449" w:rsidRDefault="00141F31" w:rsidP="00896CA5">
            <w:pPr>
              <w:ind w:hanging="142"/>
              <w:jc w:val="center"/>
              <w:rPr>
                <w:b/>
                <w:sz w:val="16"/>
                <w:szCs w:val="16"/>
              </w:rPr>
            </w:pPr>
            <w:r w:rsidRPr="000A6449">
              <w:rPr>
                <w:b/>
                <w:sz w:val="16"/>
                <w:szCs w:val="16"/>
              </w:rPr>
              <w:t>6,50 - 6,99</w:t>
            </w:r>
          </w:p>
        </w:tc>
        <w:tc>
          <w:tcPr>
            <w:tcW w:w="709" w:type="dxa"/>
            <w:noWrap/>
            <w:vAlign w:val="center"/>
            <w:hideMark/>
          </w:tcPr>
          <w:p w:rsidR="00141F31" w:rsidRPr="000A6449" w:rsidRDefault="00141F31" w:rsidP="00896CA5">
            <w:pPr>
              <w:ind w:hanging="142"/>
              <w:jc w:val="center"/>
              <w:rPr>
                <w:b/>
                <w:sz w:val="16"/>
                <w:szCs w:val="16"/>
              </w:rPr>
            </w:pPr>
            <w:r w:rsidRPr="000A6449">
              <w:rPr>
                <w:b/>
                <w:sz w:val="16"/>
                <w:szCs w:val="16"/>
              </w:rPr>
              <w:t>7,00 - 7,49</w:t>
            </w:r>
          </w:p>
        </w:tc>
        <w:tc>
          <w:tcPr>
            <w:tcW w:w="567" w:type="dxa"/>
            <w:noWrap/>
            <w:vAlign w:val="center"/>
            <w:hideMark/>
          </w:tcPr>
          <w:p w:rsidR="00141F31" w:rsidRPr="000A6449" w:rsidRDefault="00141F31" w:rsidP="00896CA5">
            <w:pPr>
              <w:ind w:hanging="142"/>
              <w:jc w:val="center"/>
              <w:rPr>
                <w:b/>
                <w:sz w:val="16"/>
                <w:szCs w:val="16"/>
              </w:rPr>
            </w:pPr>
            <w:r w:rsidRPr="000A6449">
              <w:rPr>
                <w:b/>
                <w:sz w:val="16"/>
                <w:szCs w:val="16"/>
              </w:rPr>
              <w:t>7,50 - 7,99</w:t>
            </w:r>
          </w:p>
        </w:tc>
        <w:tc>
          <w:tcPr>
            <w:tcW w:w="709" w:type="dxa"/>
            <w:noWrap/>
            <w:vAlign w:val="center"/>
            <w:hideMark/>
          </w:tcPr>
          <w:p w:rsidR="00141F31" w:rsidRPr="000A6449" w:rsidRDefault="00141F31" w:rsidP="00896CA5">
            <w:pPr>
              <w:ind w:hanging="142"/>
              <w:jc w:val="center"/>
              <w:rPr>
                <w:b/>
                <w:sz w:val="16"/>
                <w:szCs w:val="16"/>
              </w:rPr>
            </w:pPr>
            <w:r w:rsidRPr="000A6449">
              <w:rPr>
                <w:b/>
                <w:sz w:val="16"/>
                <w:szCs w:val="16"/>
              </w:rPr>
              <w:t>8,00 - 8,49</w:t>
            </w:r>
          </w:p>
        </w:tc>
        <w:tc>
          <w:tcPr>
            <w:tcW w:w="708" w:type="dxa"/>
            <w:noWrap/>
            <w:vAlign w:val="center"/>
            <w:hideMark/>
          </w:tcPr>
          <w:p w:rsidR="00141F31" w:rsidRPr="000A6449" w:rsidRDefault="00141F31" w:rsidP="00896CA5">
            <w:pPr>
              <w:ind w:hanging="142"/>
              <w:jc w:val="center"/>
              <w:rPr>
                <w:b/>
                <w:sz w:val="16"/>
                <w:szCs w:val="16"/>
              </w:rPr>
            </w:pPr>
            <w:r w:rsidRPr="000A6449">
              <w:rPr>
                <w:b/>
                <w:sz w:val="16"/>
                <w:szCs w:val="16"/>
              </w:rPr>
              <w:t>8,50 - 8,99</w:t>
            </w:r>
          </w:p>
        </w:tc>
        <w:tc>
          <w:tcPr>
            <w:tcW w:w="709" w:type="dxa"/>
            <w:noWrap/>
            <w:vAlign w:val="center"/>
            <w:hideMark/>
          </w:tcPr>
          <w:p w:rsidR="00141F31" w:rsidRPr="000A6449" w:rsidRDefault="00141F31" w:rsidP="00896CA5">
            <w:pPr>
              <w:ind w:hanging="142"/>
              <w:jc w:val="center"/>
              <w:rPr>
                <w:b/>
                <w:sz w:val="16"/>
                <w:szCs w:val="16"/>
              </w:rPr>
            </w:pPr>
            <w:r w:rsidRPr="000A6449">
              <w:rPr>
                <w:b/>
                <w:sz w:val="16"/>
                <w:szCs w:val="16"/>
              </w:rPr>
              <w:t>9,00 - 9,49</w:t>
            </w:r>
          </w:p>
        </w:tc>
        <w:tc>
          <w:tcPr>
            <w:tcW w:w="567" w:type="dxa"/>
            <w:noWrap/>
            <w:vAlign w:val="center"/>
            <w:hideMark/>
          </w:tcPr>
          <w:p w:rsidR="00141F31" w:rsidRPr="000A6449" w:rsidRDefault="00141F31" w:rsidP="00896CA5">
            <w:pPr>
              <w:ind w:hanging="142"/>
              <w:jc w:val="center"/>
              <w:rPr>
                <w:b/>
                <w:sz w:val="16"/>
                <w:szCs w:val="16"/>
              </w:rPr>
            </w:pPr>
            <w:r w:rsidRPr="000A6449">
              <w:rPr>
                <w:b/>
                <w:sz w:val="16"/>
                <w:szCs w:val="16"/>
              </w:rPr>
              <w:t>9,50- 10,0</w:t>
            </w:r>
          </w:p>
        </w:tc>
        <w:tc>
          <w:tcPr>
            <w:tcW w:w="567" w:type="dxa"/>
            <w:noWrap/>
            <w:vAlign w:val="center"/>
            <w:hideMark/>
          </w:tcPr>
          <w:p w:rsidR="00141F31" w:rsidRPr="000A6449" w:rsidRDefault="00141F31" w:rsidP="00896CA5">
            <w:pPr>
              <w:ind w:hanging="142"/>
              <w:jc w:val="center"/>
              <w:rPr>
                <w:b/>
                <w:sz w:val="16"/>
                <w:szCs w:val="16"/>
              </w:rPr>
            </w:pPr>
          </w:p>
        </w:tc>
        <w:tc>
          <w:tcPr>
            <w:tcW w:w="567" w:type="dxa"/>
            <w:noWrap/>
            <w:vAlign w:val="center"/>
            <w:hideMark/>
          </w:tcPr>
          <w:p w:rsidR="00141F31" w:rsidRPr="000A6449" w:rsidRDefault="00141F31" w:rsidP="00896CA5">
            <w:pPr>
              <w:ind w:hanging="142"/>
              <w:jc w:val="center"/>
              <w:rPr>
                <w:b/>
                <w:sz w:val="16"/>
                <w:szCs w:val="16"/>
              </w:rPr>
            </w:pPr>
          </w:p>
        </w:tc>
        <w:tc>
          <w:tcPr>
            <w:tcW w:w="425" w:type="dxa"/>
            <w:noWrap/>
            <w:vAlign w:val="center"/>
            <w:hideMark/>
          </w:tcPr>
          <w:p w:rsidR="00141F31" w:rsidRPr="000A6449" w:rsidRDefault="00141F31" w:rsidP="00896CA5">
            <w:pPr>
              <w:ind w:hanging="142"/>
              <w:jc w:val="center"/>
              <w:rPr>
                <w:b/>
                <w:sz w:val="16"/>
                <w:szCs w:val="16"/>
              </w:rPr>
            </w:pPr>
          </w:p>
        </w:tc>
        <w:tc>
          <w:tcPr>
            <w:tcW w:w="709" w:type="dxa"/>
            <w:noWrap/>
            <w:vAlign w:val="center"/>
            <w:hideMark/>
          </w:tcPr>
          <w:p w:rsidR="00141F31" w:rsidRPr="000A6449" w:rsidRDefault="00141F31" w:rsidP="00896CA5">
            <w:pPr>
              <w:ind w:hanging="142"/>
              <w:jc w:val="center"/>
              <w:rPr>
                <w:b/>
                <w:sz w:val="16"/>
                <w:szCs w:val="16"/>
              </w:rPr>
            </w:pPr>
          </w:p>
        </w:tc>
      </w:tr>
      <w:tr w:rsidR="00141F31" w:rsidRPr="000A6449" w:rsidTr="0070266A">
        <w:trPr>
          <w:trHeight w:val="290"/>
        </w:trPr>
        <w:tc>
          <w:tcPr>
            <w:tcW w:w="959" w:type="dxa"/>
            <w:noWrap/>
            <w:vAlign w:val="center"/>
            <w:hideMark/>
          </w:tcPr>
          <w:p w:rsidR="00141F31" w:rsidRPr="000A6449" w:rsidRDefault="00141F31" w:rsidP="00896CA5">
            <w:pPr>
              <w:ind w:hanging="142"/>
              <w:jc w:val="right"/>
              <w:rPr>
                <w:b/>
                <w:sz w:val="16"/>
                <w:szCs w:val="16"/>
              </w:rPr>
            </w:pPr>
            <w:r w:rsidRPr="000A6449">
              <w:rPr>
                <w:b/>
                <w:sz w:val="16"/>
                <w:szCs w:val="16"/>
              </w:rPr>
              <w:t>Norway</w:t>
            </w:r>
          </w:p>
        </w:tc>
        <w:tc>
          <w:tcPr>
            <w:tcW w:w="708" w:type="dxa"/>
            <w:noWrap/>
            <w:vAlign w:val="center"/>
            <w:hideMark/>
          </w:tcPr>
          <w:p w:rsidR="00141F31" w:rsidRPr="000A6449" w:rsidRDefault="008F3E05" w:rsidP="00896CA5">
            <w:pPr>
              <w:ind w:hanging="142"/>
              <w:jc w:val="center"/>
              <w:rPr>
                <w:b/>
                <w:sz w:val="16"/>
                <w:szCs w:val="16"/>
              </w:rPr>
            </w:pPr>
            <w:r>
              <w:rPr>
                <w:b/>
                <w:sz w:val="16"/>
                <w:szCs w:val="16"/>
              </w:rPr>
              <w:t>E</w:t>
            </w:r>
          </w:p>
        </w:tc>
        <w:tc>
          <w:tcPr>
            <w:tcW w:w="709" w:type="dxa"/>
            <w:noWrap/>
            <w:vAlign w:val="center"/>
            <w:hideMark/>
          </w:tcPr>
          <w:p w:rsidR="00141F31" w:rsidRPr="000A6449" w:rsidRDefault="008F3E05" w:rsidP="00896CA5">
            <w:pPr>
              <w:ind w:hanging="142"/>
              <w:jc w:val="center"/>
              <w:rPr>
                <w:b/>
                <w:sz w:val="16"/>
                <w:szCs w:val="16"/>
              </w:rPr>
            </w:pPr>
            <w:r>
              <w:rPr>
                <w:b/>
                <w:sz w:val="16"/>
                <w:szCs w:val="16"/>
              </w:rPr>
              <w:t>D</w:t>
            </w:r>
          </w:p>
        </w:tc>
        <w:tc>
          <w:tcPr>
            <w:tcW w:w="567" w:type="dxa"/>
            <w:noWrap/>
            <w:vAlign w:val="center"/>
            <w:hideMark/>
          </w:tcPr>
          <w:p w:rsidR="00141F31" w:rsidRPr="000A6449" w:rsidRDefault="00141F31" w:rsidP="00896CA5">
            <w:pPr>
              <w:ind w:hanging="142"/>
              <w:jc w:val="center"/>
              <w:rPr>
                <w:b/>
                <w:sz w:val="16"/>
                <w:szCs w:val="16"/>
              </w:rPr>
            </w:pPr>
            <w:r w:rsidRPr="000A6449">
              <w:rPr>
                <w:b/>
                <w:sz w:val="16"/>
                <w:szCs w:val="16"/>
              </w:rPr>
              <w:t>C</w:t>
            </w:r>
          </w:p>
        </w:tc>
        <w:tc>
          <w:tcPr>
            <w:tcW w:w="709" w:type="dxa"/>
            <w:noWrap/>
            <w:vAlign w:val="center"/>
            <w:hideMark/>
          </w:tcPr>
          <w:p w:rsidR="00141F31" w:rsidRPr="000A6449" w:rsidRDefault="008F3E05" w:rsidP="00896CA5">
            <w:pPr>
              <w:ind w:hanging="142"/>
              <w:jc w:val="center"/>
              <w:rPr>
                <w:b/>
                <w:sz w:val="16"/>
                <w:szCs w:val="16"/>
              </w:rPr>
            </w:pPr>
            <w:r>
              <w:rPr>
                <w:b/>
                <w:sz w:val="16"/>
                <w:szCs w:val="16"/>
              </w:rPr>
              <w:t>B</w:t>
            </w:r>
          </w:p>
        </w:tc>
        <w:tc>
          <w:tcPr>
            <w:tcW w:w="709" w:type="dxa"/>
            <w:noWrap/>
            <w:vAlign w:val="center"/>
            <w:hideMark/>
          </w:tcPr>
          <w:p w:rsidR="00141F31" w:rsidRPr="000A6449" w:rsidRDefault="008F3E05" w:rsidP="00896CA5">
            <w:pPr>
              <w:ind w:hanging="142"/>
              <w:jc w:val="center"/>
              <w:rPr>
                <w:b/>
                <w:sz w:val="16"/>
                <w:szCs w:val="16"/>
              </w:rPr>
            </w:pPr>
            <w:r>
              <w:rPr>
                <w:b/>
                <w:sz w:val="16"/>
                <w:szCs w:val="16"/>
              </w:rPr>
              <w:t>A</w:t>
            </w:r>
          </w:p>
        </w:tc>
        <w:tc>
          <w:tcPr>
            <w:tcW w:w="567" w:type="dxa"/>
            <w:noWrap/>
            <w:vAlign w:val="center"/>
            <w:hideMark/>
          </w:tcPr>
          <w:p w:rsidR="00141F31" w:rsidRPr="000A6449" w:rsidRDefault="00141F31" w:rsidP="00896CA5">
            <w:pPr>
              <w:ind w:hanging="142"/>
              <w:jc w:val="center"/>
              <w:rPr>
                <w:b/>
                <w:sz w:val="16"/>
                <w:szCs w:val="16"/>
              </w:rPr>
            </w:pPr>
          </w:p>
        </w:tc>
        <w:tc>
          <w:tcPr>
            <w:tcW w:w="709" w:type="dxa"/>
            <w:noWrap/>
            <w:vAlign w:val="center"/>
            <w:hideMark/>
          </w:tcPr>
          <w:p w:rsidR="00141F31" w:rsidRPr="000A6449" w:rsidRDefault="00141F31" w:rsidP="00896CA5">
            <w:pPr>
              <w:ind w:hanging="142"/>
              <w:jc w:val="center"/>
              <w:rPr>
                <w:b/>
                <w:sz w:val="16"/>
                <w:szCs w:val="16"/>
              </w:rPr>
            </w:pPr>
          </w:p>
        </w:tc>
        <w:tc>
          <w:tcPr>
            <w:tcW w:w="708" w:type="dxa"/>
            <w:noWrap/>
            <w:vAlign w:val="center"/>
            <w:hideMark/>
          </w:tcPr>
          <w:p w:rsidR="00141F31" w:rsidRPr="000A6449" w:rsidRDefault="00141F31" w:rsidP="00896CA5">
            <w:pPr>
              <w:ind w:hanging="142"/>
              <w:jc w:val="center"/>
              <w:rPr>
                <w:b/>
                <w:sz w:val="16"/>
                <w:szCs w:val="16"/>
              </w:rPr>
            </w:pPr>
          </w:p>
        </w:tc>
        <w:tc>
          <w:tcPr>
            <w:tcW w:w="709" w:type="dxa"/>
            <w:noWrap/>
            <w:vAlign w:val="center"/>
            <w:hideMark/>
          </w:tcPr>
          <w:p w:rsidR="00141F31" w:rsidRPr="000A6449" w:rsidRDefault="00141F31" w:rsidP="00896CA5">
            <w:pPr>
              <w:ind w:hanging="142"/>
              <w:jc w:val="center"/>
              <w:rPr>
                <w:b/>
                <w:sz w:val="16"/>
                <w:szCs w:val="16"/>
              </w:rPr>
            </w:pPr>
          </w:p>
        </w:tc>
        <w:tc>
          <w:tcPr>
            <w:tcW w:w="567" w:type="dxa"/>
            <w:noWrap/>
            <w:vAlign w:val="center"/>
            <w:hideMark/>
          </w:tcPr>
          <w:p w:rsidR="00141F31" w:rsidRPr="000A6449" w:rsidRDefault="00141F31" w:rsidP="00896CA5">
            <w:pPr>
              <w:ind w:hanging="142"/>
              <w:jc w:val="center"/>
              <w:rPr>
                <w:b/>
                <w:sz w:val="16"/>
                <w:szCs w:val="16"/>
              </w:rPr>
            </w:pPr>
          </w:p>
        </w:tc>
        <w:tc>
          <w:tcPr>
            <w:tcW w:w="567" w:type="dxa"/>
            <w:noWrap/>
            <w:vAlign w:val="center"/>
            <w:hideMark/>
          </w:tcPr>
          <w:p w:rsidR="00141F31" w:rsidRPr="000A6449" w:rsidRDefault="00141F31" w:rsidP="00896CA5">
            <w:pPr>
              <w:ind w:hanging="142"/>
              <w:jc w:val="center"/>
              <w:rPr>
                <w:b/>
                <w:sz w:val="16"/>
                <w:szCs w:val="16"/>
              </w:rPr>
            </w:pPr>
          </w:p>
        </w:tc>
        <w:tc>
          <w:tcPr>
            <w:tcW w:w="567" w:type="dxa"/>
            <w:noWrap/>
            <w:vAlign w:val="center"/>
            <w:hideMark/>
          </w:tcPr>
          <w:p w:rsidR="00141F31" w:rsidRPr="000A6449" w:rsidRDefault="00141F31" w:rsidP="00896CA5">
            <w:pPr>
              <w:ind w:hanging="142"/>
              <w:jc w:val="center"/>
              <w:rPr>
                <w:b/>
                <w:sz w:val="16"/>
                <w:szCs w:val="16"/>
              </w:rPr>
            </w:pPr>
          </w:p>
        </w:tc>
        <w:tc>
          <w:tcPr>
            <w:tcW w:w="425" w:type="dxa"/>
            <w:noWrap/>
            <w:vAlign w:val="center"/>
            <w:hideMark/>
          </w:tcPr>
          <w:p w:rsidR="00141F31" w:rsidRPr="000A6449" w:rsidRDefault="00141F31" w:rsidP="00896CA5">
            <w:pPr>
              <w:ind w:hanging="142"/>
              <w:jc w:val="center"/>
              <w:rPr>
                <w:b/>
                <w:sz w:val="16"/>
                <w:szCs w:val="16"/>
              </w:rPr>
            </w:pPr>
          </w:p>
        </w:tc>
        <w:tc>
          <w:tcPr>
            <w:tcW w:w="709" w:type="dxa"/>
            <w:noWrap/>
            <w:vAlign w:val="center"/>
            <w:hideMark/>
          </w:tcPr>
          <w:p w:rsidR="00141F31" w:rsidRPr="000A6449" w:rsidRDefault="00141F31" w:rsidP="00896CA5">
            <w:pPr>
              <w:ind w:hanging="142"/>
              <w:jc w:val="center"/>
              <w:rPr>
                <w:b/>
                <w:sz w:val="16"/>
                <w:szCs w:val="16"/>
              </w:rPr>
            </w:pPr>
          </w:p>
        </w:tc>
      </w:tr>
      <w:tr w:rsidR="00141F31" w:rsidRPr="000A6449" w:rsidTr="0070266A">
        <w:trPr>
          <w:trHeight w:val="290"/>
        </w:trPr>
        <w:tc>
          <w:tcPr>
            <w:tcW w:w="959" w:type="dxa"/>
            <w:noWrap/>
            <w:vAlign w:val="center"/>
            <w:hideMark/>
          </w:tcPr>
          <w:p w:rsidR="00141F31" w:rsidRPr="000A6449" w:rsidRDefault="00141F31" w:rsidP="00896CA5">
            <w:pPr>
              <w:ind w:hanging="142"/>
              <w:jc w:val="right"/>
              <w:rPr>
                <w:b/>
                <w:sz w:val="16"/>
                <w:szCs w:val="16"/>
              </w:rPr>
            </w:pPr>
            <w:r w:rsidRPr="000A6449">
              <w:rPr>
                <w:b/>
                <w:sz w:val="16"/>
                <w:szCs w:val="16"/>
              </w:rPr>
              <w:t xml:space="preserve"> UK</w:t>
            </w:r>
          </w:p>
        </w:tc>
        <w:tc>
          <w:tcPr>
            <w:tcW w:w="708" w:type="dxa"/>
            <w:noWrap/>
            <w:vAlign w:val="center"/>
            <w:hideMark/>
          </w:tcPr>
          <w:p w:rsidR="00141F31" w:rsidRPr="000A6449" w:rsidRDefault="00141F31" w:rsidP="00896CA5">
            <w:pPr>
              <w:ind w:hanging="142"/>
              <w:jc w:val="center"/>
              <w:rPr>
                <w:b/>
                <w:sz w:val="16"/>
                <w:szCs w:val="16"/>
              </w:rPr>
            </w:pPr>
            <w:r w:rsidRPr="000A6449">
              <w:rPr>
                <w:b/>
                <w:sz w:val="16"/>
                <w:szCs w:val="16"/>
              </w:rPr>
              <w:t>40-44</w:t>
            </w:r>
          </w:p>
        </w:tc>
        <w:tc>
          <w:tcPr>
            <w:tcW w:w="709" w:type="dxa"/>
            <w:noWrap/>
            <w:vAlign w:val="center"/>
            <w:hideMark/>
          </w:tcPr>
          <w:p w:rsidR="00141F31" w:rsidRPr="000A6449" w:rsidRDefault="00141F31" w:rsidP="00896CA5">
            <w:pPr>
              <w:ind w:hanging="142"/>
              <w:jc w:val="center"/>
              <w:rPr>
                <w:b/>
                <w:sz w:val="16"/>
                <w:szCs w:val="16"/>
              </w:rPr>
            </w:pPr>
            <w:r w:rsidRPr="000A6449">
              <w:rPr>
                <w:b/>
                <w:sz w:val="16"/>
                <w:szCs w:val="16"/>
              </w:rPr>
              <w:t>45-49</w:t>
            </w:r>
          </w:p>
        </w:tc>
        <w:tc>
          <w:tcPr>
            <w:tcW w:w="567" w:type="dxa"/>
            <w:noWrap/>
            <w:vAlign w:val="center"/>
            <w:hideMark/>
          </w:tcPr>
          <w:p w:rsidR="00141F31" w:rsidRPr="000A6449" w:rsidRDefault="00141F31" w:rsidP="00896CA5">
            <w:pPr>
              <w:ind w:hanging="142"/>
              <w:jc w:val="center"/>
              <w:rPr>
                <w:b/>
                <w:sz w:val="16"/>
                <w:szCs w:val="16"/>
              </w:rPr>
            </w:pPr>
            <w:r w:rsidRPr="000A6449">
              <w:rPr>
                <w:b/>
                <w:sz w:val="16"/>
                <w:szCs w:val="16"/>
              </w:rPr>
              <w:t>50-54</w:t>
            </w:r>
          </w:p>
        </w:tc>
        <w:tc>
          <w:tcPr>
            <w:tcW w:w="709" w:type="dxa"/>
            <w:noWrap/>
            <w:vAlign w:val="center"/>
            <w:hideMark/>
          </w:tcPr>
          <w:p w:rsidR="00141F31" w:rsidRPr="000A6449" w:rsidRDefault="00141F31" w:rsidP="00896CA5">
            <w:pPr>
              <w:ind w:hanging="142"/>
              <w:jc w:val="center"/>
              <w:rPr>
                <w:b/>
                <w:sz w:val="16"/>
                <w:szCs w:val="16"/>
              </w:rPr>
            </w:pPr>
            <w:r w:rsidRPr="000A6449">
              <w:rPr>
                <w:b/>
                <w:sz w:val="16"/>
                <w:szCs w:val="16"/>
              </w:rPr>
              <w:t>55-59</w:t>
            </w:r>
          </w:p>
        </w:tc>
        <w:tc>
          <w:tcPr>
            <w:tcW w:w="709" w:type="dxa"/>
            <w:noWrap/>
            <w:vAlign w:val="center"/>
            <w:hideMark/>
          </w:tcPr>
          <w:p w:rsidR="00141F31" w:rsidRPr="000A6449" w:rsidRDefault="00141F31" w:rsidP="00896CA5">
            <w:pPr>
              <w:ind w:hanging="142"/>
              <w:jc w:val="center"/>
              <w:rPr>
                <w:b/>
                <w:sz w:val="16"/>
                <w:szCs w:val="16"/>
              </w:rPr>
            </w:pPr>
            <w:r w:rsidRPr="000A6449">
              <w:rPr>
                <w:b/>
                <w:sz w:val="16"/>
                <w:szCs w:val="16"/>
              </w:rPr>
              <w:t>60-64</w:t>
            </w:r>
          </w:p>
        </w:tc>
        <w:tc>
          <w:tcPr>
            <w:tcW w:w="567" w:type="dxa"/>
            <w:noWrap/>
            <w:vAlign w:val="center"/>
            <w:hideMark/>
          </w:tcPr>
          <w:p w:rsidR="00141F31" w:rsidRPr="000A6449" w:rsidRDefault="00141F31" w:rsidP="00896CA5">
            <w:pPr>
              <w:ind w:hanging="142"/>
              <w:jc w:val="center"/>
              <w:rPr>
                <w:b/>
                <w:sz w:val="16"/>
                <w:szCs w:val="16"/>
              </w:rPr>
            </w:pPr>
            <w:r w:rsidRPr="000A6449">
              <w:rPr>
                <w:b/>
                <w:sz w:val="16"/>
                <w:szCs w:val="16"/>
              </w:rPr>
              <w:t>65-69</w:t>
            </w:r>
          </w:p>
        </w:tc>
        <w:tc>
          <w:tcPr>
            <w:tcW w:w="709" w:type="dxa"/>
            <w:noWrap/>
            <w:vAlign w:val="center"/>
            <w:hideMark/>
          </w:tcPr>
          <w:p w:rsidR="00141F31" w:rsidRPr="000A6449" w:rsidRDefault="00141F31" w:rsidP="00896CA5">
            <w:pPr>
              <w:ind w:hanging="142"/>
              <w:jc w:val="center"/>
              <w:rPr>
                <w:b/>
                <w:sz w:val="16"/>
                <w:szCs w:val="16"/>
              </w:rPr>
            </w:pPr>
            <w:r w:rsidRPr="000A6449">
              <w:rPr>
                <w:b/>
                <w:sz w:val="16"/>
                <w:szCs w:val="16"/>
              </w:rPr>
              <w:t>70-74</w:t>
            </w:r>
          </w:p>
        </w:tc>
        <w:tc>
          <w:tcPr>
            <w:tcW w:w="708" w:type="dxa"/>
            <w:noWrap/>
            <w:vAlign w:val="center"/>
            <w:hideMark/>
          </w:tcPr>
          <w:p w:rsidR="00141F31" w:rsidRPr="000A6449" w:rsidRDefault="00141F31" w:rsidP="00896CA5">
            <w:pPr>
              <w:ind w:hanging="142"/>
              <w:jc w:val="center"/>
              <w:rPr>
                <w:b/>
                <w:sz w:val="16"/>
                <w:szCs w:val="16"/>
              </w:rPr>
            </w:pPr>
            <w:r w:rsidRPr="000A6449">
              <w:rPr>
                <w:b/>
                <w:sz w:val="16"/>
                <w:szCs w:val="16"/>
              </w:rPr>
              <w:t>75-79</w:t>
            </w:r>
          </w:p>
        </w:tc>
        <w:tc>
          <w:tcPr>
            <w:tcW w:w="709" w:type="dxa"/>
            <w:noWrap/>
            <w:vAlign w:val="center"/>
            <w:hideMark/>
          </w:tcPr>
          <w:p w:rsidR="00141F31" w:rsidRPr="000A6449" w:rsidRDefault="00141F31" w:rsidP="00896CA5">
            <w:pPr>
              <w:ind w:hanging="142"/>
              <w:jc w:val="center"/>
              <w:rPr>
                <w:b/>
                <w:sz w:val="16"/>
                <w:szCs w:val="16"/>
              </w:rPr>
            </w:pPr>
            <w:r w:rsidRPr="000A6449">
              <w:rPr>
                <w:b/>
                <w:sz w:val="16"/>
                <w:szCs w:val="16"/>
              </w:rPr>
              <w:t>80-84</w:t>
            </w:r>
          </w:p>
        </w:tc>
        <w:tc>
          <w:tcPr>
            <w:tcW w:w="567" w:type="dxa"/>
            <w:noWrap/>
            <w:vAlign w:val="center"/>
            <w:hideMark/>
          </w:tcPr>
          <w:p w:rsidR="00141F31" w:rsidRPr="000A6449" w:rsidRDefault="00141F31" w:rsidP="00896CA5">
            <w:pPr>
              <w:ind w:hanging="142"/>
              <w:jc w:val="center"/>
              <w:rPr>
                <w:b/>
                <w:sz w:val="16"/>
                <w:szCs w:val="16"/>
              </w:rPr>
            </w:pPr>
            <w:r w:rsidRPr="000A6449">
              <w:rPr>
                <w:b/>
                <w:sz w:val="16"/>
                <w:szCs w:val="16"/>
              </w:rPr>
              <w:t>85-89</w:t>
            </w:r>
          </w:p>
        </w:tc>
        <w:tc>
          <w:tcPr>
            <w:tcW w:w="567" w:type="dxa"/>
            <w:noWrap/>
            <w:vAlign w:val="center"/>
            <w:hideMark/>
          </w:tcPr>
          <w:p w:rsidR="00141F31" w:rsidRPr="000A6449" w:rsidRDefault="00141F31" w:rsidP="00896CA5">
            <w:pPr>
              <w:ind w:hanging="84"/>
              <w:jc w:val="center"/>
              <w:rPr>
                <w:b/>
                <w:sz w:val="16"/>
                <w:szCs w:val="16"/>
              </w:rPr>
            </w:pPr>
            <w:r w:rsidRPr="000A6449">
              <w:rPr>
                <w:b/>
                <w:sz w:val="16"/>
                <w:szCs w:val="16"/>
              </w:rPr>
              <w:t>90-94</w:t>
            </w:r>
          </w:p>
        </w:tc>
        <w:tc>
          <w:tcPr>
            <w:tcW w:w="567" w:type="dxa"/>
            <w:noWrap/>
            <w:vAlign w:val="center"/>
            <w:hideMark/>
          </w:tcPr>
          <w:p w:rsidR="00141F31" w:rsidRPr="000A6449" w:rsidRDefault="00141F31" w:rsidP="00896CA5">
            <w:pPr>
              <w:ind w:hanging="142"/>
              <w:jc w:val="center"/>
              <w:rPr>
                <w:b/>
                <w:sz w:val="16"/>
                <w:szCs w:val="16"/>
              </w:rPr>
            </w:pPr>
            <w:r w:rsidRPr="000A6449">
              <w:rPr>
                <w:b/>
                <w:sz w:val="16"/>
                <w:szCs w:val="16"/>
              </w:rPr>
              <w:t>95-100</w:t>
            </w:r>
          </w:p>
        </w:tc>
        <w:tc>
          <w:tcPr>
            <w:tcW w:w="425" w:type="dxa"/>
            <w:noWrap/>
            <w:vAlign w:val="center"/>
            <w:hideMark/>
          </w:tcPr>
          <w:p w:rsidR="00141F31" w:rsidRPr="000A6449" w:rsidRDefault="00141F31" w:rsidP="00896CA5">
            <w:pPr>
              <w:ind w:hanging="142"/>
              <w:jc w:val="center"/>
              <w:rPr>
                <w:b/>
                <w:sz w:val="16"/>
                <w:szCs w:val="16"/>
              </w:rPr>
            </w:pPr>
          </w:p>
        </w:tc>
        <w:tc>
          <w:tcPr>
            <w:tcW w:w="709" w:type="dxa"/>
            <w:noWrap/>
            <w:vAlign w:val="center"/>
            <w:hideMark/>
          </w:tcPr>
          <w:p w:rsidR="00141F31" w:rsidRPr="000A6449" w:rsidRDefault="00141F31" w:rsidP="00896CA5">
            <w:pPr>
              <w:ind w:hanging="142"/>
              <w:jc w:val="center"/>
              <w:rPr>
                <w:b/>
                <w:sz w:val="16"/>
                <w:szCs w:val="16"/>
              </w:rPr>
            </w:pPr>
          </w:p>
        </w:tc>
      </w:tr>
      <w:tr w:rsidR="00141F31" w:rsidRPr="000A6449" w:rsidTr="0070266A">
        <w:trPr>
          <w:trHeight w:val="290"/>
        </w:trPr>
        <w:tc>
          <w:tcPr>
            <w:tcW w:w="959" w:type="dxa"/>
            <w:noWrap/>
            <w:vAlign w:val="center"/>
            <w:hideMark/>
          </w:tcPr>
          <w:p w:rsidR="00141F31" w:rsidRPr="000A6449" w:rsidRDefault="00141F31" w:rsidP="00896CA5">
            <w:pPr>
              <w:ind w:hanging="142"/>
              <w:jc w:val="right"/>
              <w:rPr>
                <w:b/>
                <w:sz w:val="16"/>
                <w:szCs w:val="16"/>
              </w:rPr>
            </w:pPr>
            <w:r w:rsidRPr="000A6449">
              <w:rPr>
                <w:b/>
                <w:sz w:val="16"/>
                <w:szCs w:val="16"/>
              </w:rPr>
              <w:t xml:space="preserve">Germany </w:t>
            </w:r>
          </w:p>
        </w:tc>
        <w:tc>
          <w:tcPr>
            <w:tcW w:w="708" w:type="dxa"/>
            <w:noWrap/>
            <w:vAlign w:val="center"/>
            <w:hideMark/>
          </w:tcPr>
          <w:p w:rsidR="00141F31" w:rsidRPr="000A6449" w:rsidRDefault="00141F31" w:rsidP="00896CA5">
            <w:pPr>
              <w:ind w:hanging="142"/>
              <w:jc w:val="center"/>
              <w:rPr>
                <w:b/>
                <w:sz w:val="16"/>
                <w:szCs w:val="16"/>
              </w:rPr>
            </w:pPr>
            <w:r w:rsidRPr="000A6449">
              <w:rPr>
                <w:b/>
                <w:sz w:val="16"/>
                <w:szCs w:val="16"/>
              </w:rPr>
              <w:t>5</w:t>
            </w:r>
          </w:p>
        </w:tc>
        <w:tc>
          <w:tcPr>
            <w:tcW w:w="709" w:type="dxa"/>
            <w:noWrap/>
            <w:vAlign w:val="center"/>
            <w:hideMark/>
          </w:tcPr>
          <w:p w:rsidR="00141F31" w:rsidRPr="000A6449" w:rsidRDefault="00141F31" w:rsidP="00896CA5">
            <w:pPr>
              <w:ind w:hanging="142"/>
              <w:jc w:val="center"/>
              <w:rPr>
                <w:b/>
                <w:sz w:val="16"/>
                <w:szCs w:val="16"/>
              </w:rPr>
            </w:pPr>
            <w:r w:rsidRPr="000A6449">
              <w:rPr>
                <w:b/>
                <w:sz w:val="16"/>
                <w:szCs w:val="16"/>
              </w:rPr>
              <w:t>6</w:t>
            </w:r>
          </w:p>
        </w:tc>
        <w:tc>
          <w:tcPr>
            <w:tcW w:w="567" w:type="dxa"/>
            <w:noWrap/>
            <w:vAlign w:val="center"/>
            <w:hideMark/>
          </w:tcPr>
          <w:p w:rsidR="00141F31" w:rsidRPr="000A6449" w:rsidRDefault="00141F31" w:rsidP="00896CA5">
            <w:pPr>
              <w:ind w:hanging="142"/>
              <w:jc w:val="center"/>
              <w:rPr>
                <w:b/>
                <w:sz w:val="16"/>
                <w:szCs w:val="16"/>
              </w:rPr>
            </w:pPr>
            <w:r w:rsidRPr="000A6449">
              <w:rPr>
                <w:b/>
                <w:sz w:val="16"/>
                <w:szCs w:val="16"/>
              </w:rPr>
              <w:t>7</w:t>
            </w:r>
          </w:p>
        </w:tc>
        <w:tc>
          <w:tcPr>
            <w:tcW w:w="709" w:type="dxa"/>
            <w:noWrap/>
            <w:vAlign w:val="center"/>
            <w:hideMark/>
          </w:tcPr>
          <w:p w:rsidR="00141F31" w:rsidRPr="000A6449" w:rsidRDefault="00141F31" w:rsidP="00896CA5">
            <w:pPr>
              <w:ind w:hanging="142"/>
              <w:jc w:val="center"/>
              <w:rPr>
                <w:b/>
                <w:sz w:val="16"/>
                <w:szCs w:val="16"/>
              </w:rPr>
            </w:pPr>
            <w:r w:rsidRPr="000A6449">
              <w:rPr>
                <w:b/>
                <w:sz w:val="16"/>
                <w:szCs w:val="16"/>
              </w:rPr>
              <w:t>8</w:t>
            </w:r>
          </w:p>
        </w:tc>
        <w:tc>
          <w:tcPr>
            <w:tcW w:w="709" w:type="dxa"/>
            <w:noWrap/>
            <w:vAlign w:val="center"/>
            <w:hideMark/>
          </w:tcPr>
          <w:p w:rsidR="00141F31" w:rsidRPr="000A6449" w:rsidRDefault="00141F31" w:rsidP="00896CA5">
            <w:pPr>
              <w:ind w:hanging="142"/>
              <w:jc w:val="center"/>
              <w:rPr>
                <w:b/>
                <w:sz w:val="16"/>
                <w:szCs w:val="16"/>
              </w:rPr>
            </w:pPr>
            <w:r w:rsidRPr="000A6449">
              <w:rPr>
                <w:b/>
                <w:sz w:val="16"/>
                <w:szCs w:val="16"/>
              </w:rPr>
              <w:t>9</w:t>
            </w:r>
          </w:p>
        </w:tc>
        <w:tc>
          <w:tcPr>
            <w:tcW w:w="567" w:type="dxa"/>
            <w:noWrap/>
            <w:vAlign w:val="center"/>
            <w:hideMark/>
          </w:tcPr>
          <w:p w:rsidR="00141F31" w:rsidRPr="000A6449" w:rsidRDefault="00141F31" w:rsidP="00896CA5">
            <w:pPr>
              <w:ind w:hanging="142"/>
              <w:jc w:val="center"/>
              <w:rPr>
                <w:b/>
                <w:sz w:val="16"/>
                <w:szCs w:val="16"/>
              </w:rPr>
            </w:pPr>
            <w:r w:rsidRPr="000A6449">
              <w:rPr>
                <w:b/>
                <w:sz w:val="16"/>
                <w:szCs w:val="16"/>
              </w:rPr>
              <w:t>10</w:t>
            </w:r>
          </w:p>
        </w:tc>
        <w:tc>
          <w:tcPr>
            <w:tcW w:w="709" w:type="dxa"/>
            <w:noWrap/>
            <w:vAlign w:val="center"/>
            <w:hideMark/>
          </w:tcPr>
          <w:p w:rsidR="00141F31" w:rsidRPr="000A6449" w:rsidRDefault="00141F31" w:rsidP="00896CA5">
            <w:pPr>
              <w:ind w:hanging="142"/>
              <w:jc w:val="center"/>
              <w:rPr>
                <w:b/>
                <w:sz w:val="16"/>
                <w:szCs w:val="16"/>
              </w:rPr>
            </w:pPr>
            <w:r w:rsidRPr="000A6449">
              <w:rPr>
                <w:b/>
                <w:sz w:val="16"/>
                <w:szCs w:val="16"/>
              </w:rPr>
              <w:t>11</w:t>
            </w:r>
          </w:p>
        </w:tc>
        <w:tc>
          <w:tcPr>
            <w:tcW w:w="708" w:type="dxa"/>
            <w:noWrap/>
            <w:vAlign w:val="center"/>
            <w:hideMark/>
          </w:tcPr>
          <w:p w:rsidR="00141F31" w:rsidRPr="000A6449" w:rsidRDefault="00141F31" w:rsidP="00896CA5">
            <w:pPr>
              <w:ind w:hanging="142"/>
              <w:jc w:val="center"/>
              <w:rPr>
                <w:b/>
                <w:sz w:val="16"/>
                <w:szCs w:val="16"/>
              </w:rPr>
            </w:pPr>
            <w:r w:rsidRPr="000A6449">
              <w:rPr>
                <w:b/>
                <w:sz w:val="16"/>
                <w:szCs w:val="16"/>
              </w:rPr>
              <w:t>12</w:t>
            </w:r>
          </w:p>
        </w:tc>
        <w:tc>
          <w:tcPr>
            <w:tcW w:w="709" w:type="dxa"/>
            <w:noWrap/>
            <w:vAlign w:val="center"/>
            <w:hideMark/>
          </w:tcPr>
          <w:p w:rsidR="00141F31" w:rsidRPr="000A6449" w:rsidRDefault="00141F31" w:rsidP="00896CA5">
            <w:pPr>
              <w:ind w:hanging="142"/>
              <w:jc w:val="center"/>
              <w:rPr>
                <w:b/>
                <w:sz w:val="16"/>
                <w:szCs w:val="16"/>
              </w:rPr>
            </w:pPr>
            <w:r w:rsidRPr="000A6449">
              <w:rPr>
                <w:b/>
                <w:sz w:val="16"/>
                <w:szCs w:val="16"/>
              </w:rPr>
              <w:t>13</w:t>
            </w:r>
          </w:p>
        </w:tc>
        <w:tc>
          <w:tcPr>
            <w:tcW w:w="567" w:type="dxa"/>
            <w:noWrap/>
            <w:vAlign w:val="center"/>
            <w:hideMark/>
          </w:tcPr>
          <w:p w:rsidR="00141F31" w:rsidRPr="000A6449" w:rsidRDefault="00141F31" w:rsidP="00896CA5">
            <w:pPr>
              <w:ind w:hanging="142"/>
              <w:jc w:val="center"/>
              <w:rPr>
                <w:b/>
                <w:sz w:val="16"/>
                <w:szCs w:val="16"/>
              </w:rPr>
            </w:pPr>
            <w:r w:rsidRPr="000A6449">
              <w:rPr>
                <w:b/>
                <w:sz w:val="16"/>
                <w:szCs w:val="16"/>
              </w:rPr>
              <w:t>14</w:t>
            </w:r>
          </w:p>
        </w:tc>
        <w:tc>
          <w:tcPr>
            <w:tcW w:w="567" w:type="dxa"/>
            <w:noWrap/>
            <w:vAlign w:val="center"/>
            <w:hideMark/>
          </w:tcPr>
          <w:p w:rsidR="00141F31" w:rsidRPr="000A6449" w:rsidRDefault="00141F31" w:rsidP="00896CA5">
            <w:pPr>
              <w:ind w:hanging="142"/>
              <w:jc w:val="center"/>
              <w:rPr>
                <w:b/>
                <w:sz w:val="16"/>
                <w:szCs w:val="16"/>
              </w:rPr>
            </w:pPr>
            <w:r w:rsidRPr="000A6449">
              <w:rPr>
                <w:b/>
                <w:sz w:val="16"/>
                <w:szCs w:val="16"/>
              </w:rPr>
              <w:t>15</w:t>
            </w:r>
          </w:p>
        </w:tc>
        <w:tc>
          <w:tcPr>
            <w:tcW w:w="567" w:type="dxa"/>
            <w:noWrap/>
            <w:vAlign w:val="center"/>
            <w:hideMark/>
          </w:tcPr>
          <w:p w:rsidR="00141F31" w:rsidRPr="000A6449" w:rsidRDefault="00141F31" w:rsidP="00896CA5">
            <w:pPr>
              <w:ind w:hanging="142"/>
              <w:jc w:val="center"/>
              <w:rPr>
                <w:b/>
                <w:sz w:val="16"/>
                <w:szCs w:val="16"/>
              </w:rPr>
            </w:pPr>
          </w:p>
        </w:tc>
        <w:tc>
          <w:tcPr>
            <w:tcW w:w="425" w:type="dxa"/>
            <w:noWrap/>
            <w:vAlign w:val="center"/>
            <w:hideMark/>
          </w:tcPr>
          <w:p w:rsidR="00141F31" w:rsidRPr="000A6449" w:rsidRDefault="00141F31" w:rsidP="00896CA5">
            <w:pPr>
              <w:ind w:hanging="142"/>
              <w:jc w:val="center"/>
              <w:rPr>
                <w:b/>
                <w:sz w:val="16"/>
                <w:szCs w:val="16"/>
              </w:rPr>
            </w:pPr>
          </w:p>
        </w:tc>
        <w:tc>
          <w:tcPr>
            <w:tcW w:w="709" w:type="dxa"/>
            <w:noWrap/>
            <w:vAlign w:val="center"/>
            <w:hideMark/>
          </w:tcPr>
          <w:p w:rsidR="00141F31" w:rsidRPr="000A6449" w:rsidRDefault="00141F31" w:rsidP="00896CA5">
            <w:pPr>
              <w:ind w:hanging="142"/>
              <w:jc w:val="center"/>
              <w:rPr>
                <w:b/>
                <w:sz w:val="16"/>
                <w:szCs w:val="16"/>
              </w:rPr>
            </w:pPr>
          </w:p>
        </w:tc>
      </w:tr>
    </w:tbl>
    <w:p w:rsidR="0070266A" w:rsidRDefault="0070266A" w:rsidP="00141F31">
      <w:pPr>
        <w:autoSpaceDE w:val="0"/>
        <w:autoSpaceDN w:val="0"/>
        <w:adjustRightInd w:val="0"/>
        <w:spacing w:after="0" w:line="240" w:lineRule="auto"/>
        <w:jc w:val="both"/>
        <w:rPr>
          <w:rFonts w:ascii="Times New Roman" w:hAnsi="Times New Roman" w:cs="Times New Roman"/>
          <w:sz w:val="24"/>
          <w:szCs w:val="24"/>
          <w:lang w:val="en-GB"/>
        </w:rPr>
      </w:pPr>
    </w:p>
    <w:p w:rsidR="00141F31" w:rsidRDefault="00141F31" w:rsidP="00141F31">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Grading tables show the frequency </w:t>
      </w:r>
      <w:r w:rsidR="00896CA5">
        <w:rPr>
          <w:rFonts w:ascii="Times New Roman" w:hAnsi="Times New Roman" w:cs="Times New Roman"/>
          <w:sz w:val="24"/>
          <w:szCs w:val="24"/>
          <w:lang w:val="en-GB"/>
        </w:rPr>
        <w:t>distribution of the grades within a grading scale.</w:t>
      </w:r>
      <w:r w:rsidR="00CF6E80">
        <w:rPr>
          <w:rFonts w:ascii="Times New Roman" w:hAnsi="Times New Roman" w:cs="Times New Roman"/>
          <w:sz w:val="24"/>
          <w:szCs w:val="24"/>
          <w:lang w:val="en-GB"/>
        </w:rPr>
        <w:t xml:space="preserve"> </w:t>
      </w:r>
      <w:r w:rsidR="001E23F7">
        <w:rPr>
          <w:rFonts w:ascii="Times New Roman" w:hAnsi="Times New Roman" w:cs="Times New Roman"/>
          <w:sz w:val="24"/>
          <w:szCs w:val="24"/>
          <w:lang w:val="en-GB"/>
        </w:rPr>
        <w:t xml:space="preserve">Usually an </w:t>
      </w:r>
      <w:r w:rsidR="00896CA5">
        <w:rPr>
          <w:rFonts w:ascii="Times New Roman" w:hAnsi="Times New Roman" w:cs="Times New Roman"/>
          <w:sz w:val="24"/>
          <w:szCs w:val="24"/>
          <w:lang w:val="en-GB"/>
        </w:rPr>
        <w:t xml:space="preserve"> absolute and an accumulated frequency </w:t>
      </w:r>
      <w:r w:rsidR="00D83046">
        <w:rPr>
          <w:rFonts w:ascii="Times New Roman" w:hAnsi="Times New Roman" w:cs="Times New Roman"/>
          <w:sz w:val="24"/>
          <w:szCs w:val="24"/>
          <w:lang w:val="en-GB"/>
        </w:rPr>
        <w:t>are</w:t>
      </w:r>
      <w:r w:rsidR="00896CA5">
        <w:rPr>
          <w:rFonts w:ascii="Times New Roman" w:hAnsi="Times New Roman" w:cs="Times New Roman"/>
          <w:sz w:val="24"/>
          <w:szCs w:val="24"/>
          <w:lang w:val="en-GB"/>
        </w:rPr>
        <w:t xml:space="preserve"> provided.</w:t>
      </w:r>
    </w:p>
    <w:p w:rsidR="00896CA5" w:rsidRDefault="00896CA5" w:rsidP="00141F31">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br/>
        <w:t>An example from Italy:</w:t>
      </w:r>
    </w:p>
    <w:tbl>
      <w:tblPr>
        <w:tblW w:w="10238" w:type="dxa"/>
        <w:tblCellMar>
          <w:left w:w="0" w:type="dxa"/>
          <w:right w:w="0" w:type="dxa"/>
        </w:tblCellMar>
        <w:tblLook w:val="0600" w:firstRow="0" w:lastRow="0" w:firstColumn="0" w:lastColumn="0" w:noHBand="1" w:noVBand="1"/>
      </w:tblPr>
      <w:tblGrid>
        <w:gridCol w:w="591"/>
        <w:gridCol w:w="650"/>
        <w:gridCol w:w="650"/>
        <w:gridCol w:w="650"/>
        <w:gridCol w:w="657"/>
        <w:gridCol w:w="674"/>
        <w:gridCol w:w="713"/>
        <w:gridCol w:w="788"/>
        <w:gridCol w:w="661"/>
        <w:gridCol w:w="650"/>
        <w:gridCol w:w="702"/>
        <w:gridCol w:w="899"/>
        <w:gridCol w:w="914"/>
        <w:gridCol w:w="1039"/>
      </w:tblGrid>
      <w:tr w:rsidR="00896CA5" w:rsidRPr="00896CA5" w:rsidTr="00896CA5">
        <w:trPr>
          <w:trHeight w:val="867"/>
        </w:trPr>
        <w:tc>
          <w:tcPr>
            <w:tcW w:w="591"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b/>
                <w:bCs/>
                <w:sz w:val="24"/>
                <w:szCs w:val="24"/>
                <w:lang w:val="nl-BE"/>
              </w:rPr>
              <w:t>18</w:t>
            </w:r>
          </w:p>
        </w:tc>
        <w:tc>
          <w:tcPr>
            <w:tcW w:w="650"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b/>
                <w:bCs/>
                <w:sz w:val="24"/>
                <w:szCs w:val="24"/>
                <w:lang w:val="nl-BE"/>
              </w:rPr>
              <w:t>19</w:t>
            </w:r>
          </w:p>
        </w:tc>
        <w:tc>
          <w:tcPr>
            <w:tcW w:w="650"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b/>
                <w:bCs/>
                <w:sz w:val="24"/>
                <w:szCs w:val="24"/>
                <w:lang w:val="nl-BE"/>
              </w:rPr>
              <w:t>20</w:t>
            </w:r>
          </w:p>
        </w:tc>
        <w:tc>
          <w:tcPr>
            <w:tcW w:w="650"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b/>
                <w:bCs/>
                <w:sz w:val="24"/>
                <w:szCs w:val="24"/>
                <w:lang w:val="nl-BE"/>
              </w:rPr>
              <w:t>21</w:t>
            </w:r>
          </w:p>
        </w:tc>
        <w:tc>
          <w:tcPr>
            <w:tcW w:w="657"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b/>
                <w:bCs/>
                <w:sz w:val="24"/>
                <w:szCs w:val="24"/>
                <w:lang w:val="nl-BE"/>
              </w:rPr>
              <w:t>22</w:t>
            </w:r>
          </w:p>
        </w:tc>
        <w:tc>
          <w:tcPr>
            <w:tcW w:w="674"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b/>
                <w:bCs/>
                <w:sz w:val="24"/>
                <w:szCs w:val="24"/>
                <w:lang w:val="nl-BE"/>
              </w:rPr>
              <w:t>23</w:t>
            </w:r>
          </w:p>
        </w:tc>
        <w:tc>
          <w:tcPr>
            <w:tcW w:w="713"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b/>
                <w:bCs/>
                <w:sz w:val="24"/>
                <w:szCs w:val="24"/>
                <w:lang w:val="nl-BE"/>
              </w:rPr>
              <w:t>24</w:t>
            </w:r>
          </w:p>
        </w:tc>
        <w:tc>
          <w:tcPr>
            <w:tcW w:w="788"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b/>
                <w:bCs/>
                <w:sz w:val="24"/>
                <w:szCs w:val="24"/>
                <w:lang w:val="nl-BE"/>
              </w:rPr>
              <w:t>25</w:t>
            </w:r>
          </w:p>
        </w:tc>
        <w:tc>
          <w:tcPr>
            <w:tcW w:w="661"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b/>
                <w:bCs/>
                <w:sz w:val="24"/>
                <w:szCs w:val="24"/>
                <w:lang w:val="nl-BE"/>
              </w:rPr>
              <w:t>26</w:t>
            </w:r>
          </w:p>
        </w:tc>
        <w:tc>
          <w:tcPr>
            <w:tcW w:w="650"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b/>
                <w:bCs/>
                <w:sz w:val="24"/>
                <w:szCs w:val="24"/>
                <w:lang w:val="nl-BE"/>
              </w:rPr>
              <w:t>27</w:t>
            </w:r>
          </w:p>
        </w:tc>
        <w:tc>
          <w:tcPr>
            <w:tcW w:w="702"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b/>
                <w:bCs/>
                <w:sz w:val="24"/>
                <w:szCs w:val="24"/>
                <w:lang w:val="nl-BE"/>
              </w:rPr>
              <w:t>28</w:t>
            </w:r>
          </w:p>
        </w:tc>
        <w:tc>
          <w:tcPr>
            <w:tcW w:w="899"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b/>
                <w:bCs/>
                <w:sz w:val="24"/>
                <w:szCs w:val="24"/>
                <w:lang w:val="nl-BE"/>
              </w:rPr>
              <w:t>29</w:t>
            </w:r>
          </w:p>
        </w:tc>
        <w:tc>
          <w:tcPr>
            <w:tcW w:w="914"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b/>
                <w:bCs/>
                <w:sz w:val="24"/>
                <w:szCs w:val="24"/>
                <w:lang w:val="nl-BE"/>
              </w:rPr>
              <w:t>30</w:t>
            </w:r>
          </w:p>
        </w:tc>
        <w:tc>
          <w:tcPr>
            <w:tcW w:w="1039"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b/>
                <w:bCs/>
                <w:sz w:val="24"/>
                <w:szCs w:val="24"/>
                <w:lang w:val="nl-BE"/>
              </w:rPr>
              <w:t>30 lode</w:t>
            </w:r>
          </w:p>
        </w:tc>
      </w:tr>
      <w:tr w:rsidR="00896CA5" w:rsidRPr="00896CA5" w:rsidTr="00896CA5">
        <w:trPr>
          <w:trHeight w:val="733"/>
        </w:trPr>
        <w:tc>
          <w:tcPr>
            <w:tcW w:w="5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6.9%</w:t>
            </w:r>
          </w:p>
        </w:tc>
        <w:tc>
          <w:tcPr>
            <w:tcW w:w="6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1.9%</w:t>
            </w:r>
          </w:p>
        </w:tc>
        <w:tc>
          <w:tcPr>
            <w:tcW w:w="6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5.7%</w:t>
            </w:r>
          </w:p>
        </w:tc>
        <w:tc>
          <w:tcPr>
            <w:tcW w:w="6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2.3%</w:t>
            </w:r>
          </w:p>
        </w:tc>
        <w:tc>
          <w:tcPr>
            <w:tcW w:w="65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6.0%</w:t>
            </w:r>
          </w:p>
        </w:tc>
        <w:tc>
          <w:tcPr>
            <w:tcW w:w="67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2.7%</w:t>
            </w:r>
          </w:p>
        </w:tc>
        <w:tc>
          <w:tcPr>
            <w:tcW w:w="71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11.3%</w:t>
            </w:r>
          </w:p>
        </w:tc>
        <w:tc>
          <w:tcPr>
            <w:tcW w:w="78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8.2%</w:t>
            </w:r>
          </w:p>
        </w:tc>
        <w:tc>
          <w:tcPr>
            <w:tcW w:w="66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9.0%</w:t>
            </w:r>
          </w:p>
        </w:tc>
        <w:tc>
          <w:tcPr>
            <w:tcW w:w="6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11.8%</w:t>
            </w:r>
          </w:p>
        </w:tc>
        <w:tc>
          <w:tcPr>
            <w:tcW w:w="7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12.3%</w:t>
            </w:r>
          </w:p>
        </w:tc>
        <w:tc>
          <w:tcPr>
            <w:tcW w:w="89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0.5%</w:t>
            </w:r>
          </w:p>
        </w:tc>
        <w:tc>
          <w:tcPr>
            <w:tcW w:w="91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15.7%</w:t>
            </w:r>
          </w:p>
        </w:tc>
        <w:tc>
          <w:tcPr>
            <w:tcW w:w="10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5.7%</w:t>
            </w:r>
          </w:p>
        </w:tc>
      </w:tr>
      <w:tr w:rsidR="00896CA5" w:rsidRPr="00896CA5" w:rsidTr="00896CA5">
        <w:trPr>
          <w:trHeight w:val="383"/>
        </w:trPr>
        <w:tc>
          <w:tcPr>
            <w:tcW w:w="5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Pr>
                <w:rFonts w:ascii="Times New Roman" w:hAnsi="Times New Roman" w:cs="Times New Roman"/>
                <w:sz w:val="24"/>
                <w:szCs w:val="24"/>
                <w:lang w:val="nl-BE"/>
              </w:rPr>
              <w:t>100%</w:t>
            </w:r>
          </w:p>
        </w:tc>
        <w:tc>
          <w:tcPr>
            <w:tcW w:w="6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93,1</w:t>
            </w:r>
            <w:r>
              <w:rPr>
                <w:rFonts w:ascii="Times New Roman" w:hAnsi="Times New Roman" w:cs="Times New Roman"/>
                <w:sz w:val="24"/>
                <w:szCs w:val="24"/>
                <w:lang w:val="nl-BE"/>
              </w:rPr>
              <w:t>%</w:t>
            </w:r>
          </w:p>
        </w:tc>
        <w:tc>
          <w:tcPr>
            <w:tcW w:w="6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91,2</w:t>
            </w:r>
            <w:r>
              <w:rPr>
                <w:rFonts w:ascii="Times New Roman" w:hAnsi="Times New Roman" w:cs="Times New Roman"/>
                <w:sz w:val="24"/>
                <w:szCs w:val="24"/>
                <w:lang w:val="nl-BE"/>
              </w:rPr>
              <w:t>%</w:t>
            </w:r>
          </w:p>
        </w:tc>
        <w:tc>
          <w:tcPr>
            <w:tcW w:w="6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85,5</w:t>
            </w:r>
            <w:r>
              <w:rPr>
                <w:rFonts w:ascii="Times New Roman" w:hAnsi="Times New Roman" w:cs="Times New Roman"/>
                <w:sz w:val="24"/>
                <w:szCs w:val="24"/>
                <w:lang w:val="nl-BE"/>
              </w:rPr>
              <w:t>%</w:t>
            </w:r>
          </w:p>
        </w:tc>
        <w:tc>
          <w:tcPr>
            <w:tcW w:w="65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83,2</w:t>
            </w:r>
            <w:r>
              <w:rPr>
                <w:rFonts w:ascii="Times New Roman" w:hAnsi="Times New Roman" w:cs="Times New Roman"/>
                <w:sz w:val="24"/>
                <w:szCs w:val="24"/>
                <w:lang w:val="nl-BE"/>
              </w:rPr>
              <w:t>%</w:t>
            </w:r>
          </w:p>
        </w:tc>
        <w:tc>
          <w:tcPr>
            <w:tcW w:w="67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77,2</w:t>
            </w:r>
            <w:r>
              <w:rPr>
                <w:rFonts w:ascii="Times New Roman" w:hAnsi="Times New Roman" w:cs="Times New Roman"/>
                <w:sz w:val="24"/>
                <w:szCs w:val="24"/>
                <w:lang w:val="nl-BE"/>
              </w:rPr>
              <w:t>%</w:t>
            </w:r>
          </w:p>
        </w:tc>
        <w:tc>
          <w:tcPr>
            <w:tcW w:w="71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74,5</w:t>
            </w:r>
            <w:r>
              <w:rPr>
                <w:rFonts w:ascii="Times New Roman" w:hAnsi="Times New Roman" w:cs="Times New Roman"/>
                <w:sz w:val="24"/>
                <w:szCs w:val="24"/>
                <w:lang w:val="nl-BE"/>
              </w:rPr>
              <w:t>%</w:t>
            </w:r>
          </w:p>
        </w:tc>
        <w:tc>
          <w:tcPr>
            <w:tcW w:w="78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63,2</w:t>
            </w:r>
            <w:r>
              <w:rPr>
                <w:rFonts w:ascii="Times New Roman" w:hAnsi="Times New Roman" w:cs="Times New Roman"/>
                <w:sz w:val="24"/>
                <w:szCs w:val="24"/>
                <w:lang w:val="nl-BE"/>
              </w:rPr>
              <w:t>%</w:t>
            </w:r>
          </w:p>
        </w:tc>
        <w:tc>
          <w:tcPr>
            <w:tcW w:w="66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55</w:t>
            </w:r>
            <w:r>
              <w:rPr>
                <w:rFonts w:ascii="Times New Roman" w:hAnsi="Times New Roman" w:cs="Times New Roman"/>
                <w:sz w:val="24"/>
                <w:szCs w:val="24"/>
                <w:lang w:val="nl-BE"/>
              </w:rPr>
              <w:t>%</w:t>
            </w:r>
          </w:p>
        </w:tc>
        <w:tc>
          <w:tcPr>
            <w:tcW w:w="6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46</w:t>
            </w:r>
            <w:r>
              <w:rPr>
                <w:rFonts w:ascii="Times New Roman" w:hAnsi="Times New Roman" w:cs="Times New Roman"/>
                <w:sz w:val="24"/>
                <w:szCs w:val="24"/>
                <w:lang w:val="nl-BE"/>
              </w:rPr>
              <w:t>%</w:t>
            </w:r>
          </w:p>
        </w:tc>
        <w:tc>
          <w:tcPr>
            <w:tcW w:w="7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34,2</w:t>
            </w:r>
            <w:r>
              <w:rPr>
                <w:rFonts w:ascii="Times New Roman" w:hAnsi="Times New Roman" w:cs="Times New Roman"/>
                <w:sz w:val="24"/>
                <w:szCs w:val="24"/>
                <w:lang w:val="nl-BE"/>
              </w:rPr>
              <w:t>%</w:t>
            </w:r>
          </w:p>
        </w:tc>
        <w:tc>
          <w:tcPr>
            <w:tcW w:w="89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21,9</w:t>
            </w:r>
            <w:r>
              <w:rPr>
                <w:rFonts w:ascii="Times New Roman" w:hAnsi="Times New Roman" w:cs="Times New Roman"/>
                <w:sz w:val="24"/>
                <w:szCs w:val="24"/>
                <w:lang w:val="nl-BE"/>
              </w:rPr>
              <w:t>%</w:t>
            </w:r>
          </w:p>
        </w:tc>
        <w:tc>
          <w:tcPr>
            <w:tcW w:w="91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21,4</w:t>
            </w:r>
            <w:r>
              <w:rPr>
                <w:rFonts w:ascii="Times New Roman" w:hAnsi="Times New Roman" w:cs="Times New Roman"/>
                <w:sz w:val="24"/>
                <w:szCs w:val="24"/>
                <w:lang w:val="nl-BE"/>
              </w:rPr>
              <w:t>%</w:t>
            </w:r>
          </w:p>
        </w:tc>
        <w:tc>
          <w:tcPr>
            <w:tcW w:w="10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5,7</w:t>
            </w:r>
            <w:r>
              <w:rPr>
                <w:rFonts w:ascii="Times New Roman" w:hAnsi="Times New Roman" w:cs="Times New Roman"/>
                <w:sz w:val="24"/>
                <w:szCs w:val="24"/>
                <w:lang w:val="nl-BE"/>
              </w:rPr>
              <w:t>%</w:t>
            </w:r>
          </w:p>
        </w:tc>
      </w:tr>
    </w:tbl>
    <w:p w:rsidR="00896CA5" w:rsidRDefault="00896CA5" w:rsidP="00141F31">
      <w:pPr>
        <w:autoSpaceDE w:val="0"/>
        <w:autoSpaceDN w:val="0"/>
        <w:adjustRightInd w:val="0"/>
        <w:spacing w:after="0" w:line="240" w:lineRule="auto"/>
        <w:jc w:val="both"/>
        <w:rPr>
          <w:rFonts w:ascii="Times New Roman" w:hAnsi="Times New Roman" w:cs="Times New Roman"/>
          <w:sz w:val="24"/>
          <w:szCs w:val="24"/>
          <w:lang w:val="en-GB"/>
        </w:rPr>
      </w:pPr>
    </w:p>
    <w:p w:rsidR="00896CA5" w:rsidRPr="002469D3" w:rsidRDefault="00896CA5" w:rsidP="00896CA5">
      <w:pPr>
        <w:pStyle w:val="Lijstalinea"/>
        <w:numPr>
          <w:ilvl w:val="0"/>
          <w:numId w:val="24"/>
        </w:numPr>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Pr="002469D3">
        <w:rPr>
          <w:rFonts w:ascii="Times New Roman" w:hAnsi="Times New Roman" w:cs="Times New Roman"/>
          <w:sz w:val="24"/>
          <w:szCs w:val="24"/>
          <w:lang w:val="en-GB"/>
        </w:rPr>
        <w:t xml:space="preserve">he </w:t>
      </w:r>
      <w:r>
        <w:rPr>
          <w:rFonts w:ascii="Times New Roman" w:hAnsi="Times New Roman" w:cs="Times New Roman"/>
          <w:sz w:val="24"/>
          <w:szCs w:val="24"/>
          <w:lang w:val="en-GB"/>
        </w:rPr>
        <w:t xml:space="preserve">absolute </w:t>
      </w:r>
      <w:r w:rsidRPr="002469D3">
        <w:rPr>
          <w:rFonts w:ascii="Times New Roman" w:hAnsi="Times New Roman" w:cs="Times New Roman"/>
          <w:sz w:val="24"/>
          <w:szCs w:val="24"/>
          <w:lang w:val="en-GB"/>
        </w:rPr>
        <w:t xml:space="preserve">frequency distribution of all </w:t>
      </w:r>
      <w:r>
        <w:rPr>
          <w:rFonts w:ascii="Times New Roman" w:hAnsi="Times New Roman" w:cs="Times New Roman"/>
          <w:sz w:val="24"/>
          <w:szCs w:val="24"/>
          <w:lang w:val="en-GB"/>
        </w:rPr>
        <w:t>the grades (from pass onwards) within the reference group</w:t>
      </w:r>
      <w:r w:rsidR="001E23F7">
        <w:rPr>
          <w:rFonts w:ascii="Times New Roman" w:hAnsi="Times New Roman" w:cs="Times New Roman"/>
          <w:sz w:val="24"/>
          <w:szCs w:val="24"/>
          <w:lang w:val="en-GB"/>
        </w:rPr>
        <w:t xml:space="preserve"> is shown </w:t>
      </w:r>
      <w:r>
        <w:rPr>
          <w:rFonts w:ascii="Times New Roman" w:hAnsi="Times New Roman" w:cs="Times New Roman"/>
          <w:sz w:val="24"/>
          <w:szCs w:val="24"/>
          <w:lang w:val="en-GB"/>
        </w:rPr>
        <w:t xml:space="preserve"> e.g. 0.5% of the students obtain 29</w:t>
      </w:r>
      <w:r w:rsidR="00D83046">
        <w:rPr>
          <w:rFonts w:ascii="Times New Roman" w:hAnsi="Times New Roman" w:cs="Times New Roman"/>
          <w:sz w:val="24"/>
          <w:szCs w:val="24"/>
          <w:lang w:val="en-GB"/>
        </w:rPr>
        <w:t xml:space="preserve">, 15.7% obtain 30 and 5.7% 30+ </w:t>
      </w:r>
      <w:r>
        <w:rPr>
          <w:rFonts w:ascii="Times New Roman" w:hAnsi="Times New Roman" w:cs="Times New Roman"/>
          <w:sz w:val="24"/>
          <w:szCs w:val="24"/>
          <w:lang w:val="en-GB"/>
        </w:rPr>
        <w:t>in a 18 to 30+ grading scale</w:t>
      </w:r>
      <w:r w:rsidRPr="002469D3">
        <w:rPr>
          <w:rFonts w:ascii="Times New Roman" w:hAnsi="Times New Roman" w:cs="Times New Roman"/>
          <w:sz w:val="24"/>
          <w:szCs w:val="24"/>
          <w:lang w:val="en-GB"/>
        </w:rPr>
        <w:t xml:space="preserve">. </w:t>
      </w:r>
    </w:p>
    <w:p w:rsidR="00896CA5" w:rsidRDefault="00896CA5" w:rsidP="00896CA5">
      <w:pPr>
        <w:pStyle w:val="Lijstalinea"/>
        <w:numPr>
          <w:ilvl w:val="0"/>
          <w:numId w:val="24"/>
        </w:num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The accumulated frequency distribution for t</w:t>
      </w:r>
      <w:r>
        <w:rPr>
          <w:rFonts w:ascii="Times New Roman" w:hAnsi="Times New Roman" w:cs="Times New Roman"/>
          <w:sz w:val="24"/>
          <w:szCs w:val="24"/>
          <w:lang w:val="en-GB"/>
        </w:rPr>
        <w:t xml:space="preserve">he whole of the reference group, starting with 100% for the lowest pass grade. If e.g.  </w:t>
      </w:r>
      <w:r w:rsidR="00CF6E80">
        <w:rPr>
          <w:rFonts w:ascii="Times New Roman" w:hAnsi="Times New Roman" w:cs="Times New Roman"/>
          <w:sz w:val="24"/>
          <w:szCs w:val="24"/>
          <w:lang w:val="en-GB"/>
        </w:rPr>
        <w:t>34.2% of the students obtain 28</w:t>
      </w:r>
      <w:r>
        <w:rPr>
          <w:rFonts w:ascii="Times New Roman" w:hAnsi="Times New Roman" w:cs="Times New Roman"/>
          <w:sz w:val="24"/>
          <w:szCs w:val="24"/>
          <w:lang w:val="en-GB"/>
        </w:rPr>
        <w:t xml:space="preserve"> or more (=</w:t>
      </w:r>
      <w:r w:rsidR="00CF6E80">
        <w:rPr>
          <w:rFonts w:ascii="Times New Roman" w:hAnsi="Times New Roman" w:cs="Times New Roman"/>
          <w:sz w:val="24"/>
          <w:szCs w:val="24"/>
          <w:lang w:val="en-GB"/>
        </w:rPr>
        <w:t xml:space="preserve">accumulated) and 21.4% obtain </w:t>
      </w:r>
      <w:r w:rsidR="001E23F7">
        <w:rPr>
          <w:rFonts w:ascii="Times New Roman" w:hAnsi="Times New Roman" w:cs="Times New Roman"/>
          <w:sz w:val="24"/>
          <w:szCs w:val="24"/>
          <w:lang w:val="en-GB"/>
        </w:rPr>
        <w:t>at least 30</w:t>
      </w:r>
      <w:r>
        <w:rPr>
          <w:rFonts w:ascii="Times New Roman" w:hAnsi="Times New Roman" w:cs="Times New Roman"/>
          <w:sz w:val="24"/>
          <w:szCs w:val="24"/>
          <w:lang w:val="en-GB"/>
        </w:rPr>
        <w:t xml:space="preserve"> it means </w:t>
      </w:r>
      <w:r w:rsidR="00CF6E80">
        <w:rPr>
          <w:rFonts w:ascii="Times New Roman" w:hAnsi="Times New Roman" w:cs="Times New Roman"/>
          <w:sz w:val="24"/>
          <w:szCs w:val="24"/>
          <w:lang w:val="en-GB"/>
        </w:rPr>
        <w:t>a student belongs to the top  34.2% with 28</w:t>
      </w:r>
      <w:r>
        <w:rPr>
          <w:rFonts w:ascii="Times New Roman" w:hAnsi="Times New Roman" w:cs="Times New Roman"/>
          <w:sz w:val="24"/>
          <w:szCs w:val="24"/>
          <w:lang w:val="en-GB"/>
        </w:rPr>
        <w:t xml:space="preserve"> for a given course</w:t>
      </w:r>
      <w:r w:rsidR="001E23F7">
        <w:rPr>
          <w:rFonts w:ascii="Times New Roman" w:hAnsi="Times New Roman" w:cs="Times New Roman"/>
          <w:sz w:val="24"/>
          <w:szCs w:val="24"/>
          <w:lang w:val="en-GB"/>
        </w:rPr>
        <w:t xml:space="preserve"> unit</w:t>
      </w:r>
      <w:r>
        <w:rPr>
          <w:rFonts w:ascii="Times New Roman" w:hAnsi="Times New Roman" w:cs="Times New Roman"/>
          <w:sz w:val="24"/>
          <w:szCs w:val="24"/>
          <w:lang w:val="en-GB"/>
        </w:rPr>
        <w:t xml:space="preserve"> and to the top 2</w:t>
      </w:r>
      <w:r w:rsidR="00CF6E80">
        <w:rPr>
          <w:rFonts w:ascii="Times New Roman" w:hAnsi="Times New Roman" w:cs="Times New Roman"/>
          <w:sz w:val="24"/>
          <w:szCs w:val="24"/>
          <w:lang w:val="en-GB"/>
        </w:rPr>
        <w:t>1.4% with 30</w:t>
      </w:r>
      <w:r>
        <w:rPr>
          <w:rFonts w:ascii="Times New Roman" w:hAnsi="Times New Roman" w:cs="Times New Roman"/>
          <w:sz w:val="24"/>
          <w:szCs w:val="24"/>
          <w:lang w:val="en-GB"/>
        </w:rPr>
        <w:t xml:space="preserve"> or </w:t>
      </w:r>
      <w:r w:rsidR="00CF6E80">
        <w:rPr>
          <w:rFonts w:ascii="Times New Roman" w:hAnsi="Times New Roman" w:cs="Times New Roman"/>
          <w:sz w:val="24"/>
          <w:szCs w:val="24"/>
          <w:lang w:val="en-GB"/>
        </w:rPr>
        <w:t>30+</w:t>
      </w:r>
      <w:r>
        <w:rPr>
          <w:rFonts w:ascii="Times New Roman" w:hAnsi="Times New Roman" w:cs="Times New Roman"/>
          <w:sz w:val="24"/>
          <w:szCs w:val="24"/>
          <w:lang w:val="en-GB"/>
        </w:rPr>
        <w:t xml:space="preserve">. </w:t>
      </w:r>
      <w:r w:rsidR="00CF6E80">
        <w:rPr>
          <w:rFonts w:ascii="Times New Roman" w:hAnsi="Times New Roman" w:cs="Times New Roman"/>
          <w:sz w:val="24"/>
          <w:szCs w:val="24"/>
          <w:lang w:val="en-GB"/>
        </w:rPr>
        <w:t>Of course the accumulated frequency can be easily derived from the absolute frequencies.</w:t>
      </w:r>
    </w:p>
    <w:p w:rsidR="00585C2A" w:rsidRDefault="00384AD3" w:rsidP="00990133">
      <w:pPr>
        <w:autoSpaceDE w:val="0"/>
        <w:autoSpaceDN w:val="0"/>
        <w:adjustRightInd w:val="0"/>
        <w:spacing w:after="0" w:line="240" w:lineRule="auto"/>
        <w:ind w:left="284" w:hanging="284"/>
        <w:jc w:val="both"/>
        <w:rPr>
          <w:rFonts w:ascii="Times New Roman" w:hAnsi="Times New Roman" w:cs="Times New Roman"/>
          <w:b/>
          <w:sz w:val="32"/>
          <w:szCs w:val="32"/>
          <w:u w:val="single"/>
          <w:lang w:val="en-GB"/>
        </w:rPr>
      </w:pPr>
      <w:r>
        <w:rPr>
          <w:rFonts w:ascii="Times New Roman" w:hAnsi="Times New Roman" w:cs="Times New Roman"/>
          <w:b/>
          <w:sz w:val="32"/>
          <w:szCs w:val="32"/>
          <w:u w:val="single"/>
          <w:lang w:val="en-GB"/>
        </w:rPr>
        <w:t xml:space="preserve">Detailed characteristics of </w:t>
      </w:r>
      <w:r w:rsidR="0038390D">
        <w:rPr>
          <w:rFonts w:ascii="Times New Roman" w:hAnsi="Times New Roman" w:cs="Times New Roman"/>
          <w:b/>
          <w:sz w:val="32"/>
          <w:szCs w:val="32"/>
          <w:u w:val="single"/>
          <w:lang w:val="en-GB"/>
        </w:rPr>
        <w:t>grading table</w:t>
      </w:r>
      <w:r>
        <w:rPr>
          <w:rFonts w:ascii="Times New Roman" w:hAnsi="Times New Roman" w:cs="Times New Roman"/>
          <w:b/>
          <w:sz w:val="32"/>
          <w:szCs w:val="32"/>
          <w:u w:val="single"/>
          <w:lang w:val="en-GB"/>
        </w:rPr>
        <w:t>s</w:t>
      </w:r>
    </w:p>
    <w:p w:rsidR="00384AD3" w:rsidRDefault="00384AD3" w:rsidP="00990133">
      <w:pPr>
        <w:autoSpaceDE w:val="0"/>
        <w:autoSpaceDN w:val="0"/>
        <w:adjustRightInd w:val="0"/>
        <w:spacing w:after="0" w:line="240" w:lineRule="auto"/>
        <w:ind w:left="284" w:hanging="284"/>
        <w:jc w:val="both"/>
        <w:rPr>
          <w:rFonts w:ascii="Times New Roman" w:hAnsi="Times New Roman" w:cs="Times New Roman"/>
          <w:b/>
          <w:sz w:val="32"/>
          <w:szCs w:val="32"/>
          <w:u w:val="single"/>
          <w:lang w:val="en-GB"/>
        </w:rPr>
      </w:pPr>
    </w:p>
    <w:p w:rsidR="00BE6766" w:rsidRPr="00384AD3" w:rsidRDefault="00BE6766" w:rsidP="00BE6766">
      <w:pPr>
        <w:autoSpaceDE w:val="0"/>
        <w:autoSpaceDN w:val="0"/>
        <w:adjustRightInd w:val="0"/>
        <w:spacing w:after="0" w:line="240" w:lineRule="auto"/>
        <w:jc w:val="both"/>
        <w:rPr>
          <w:rFonts w:ascii="Times New Roman" w:hAnsi="Times New Roman" w:cs="Times New Roman"/>
          <w:sz w:val="24"/>
          <w:szCs w:val="24"/>
          <w:lang w:val="en-GB"/>
        </w:rPr>
      </w:pPr>
      <w:r w:rsidRPr="00384AD3">
        <w:rPr>
          <w:rFonts w:ascii="Times New Roman" w:hAnsi="Times New Roman" w:cs="Times New Roman"/>
          <w:sz w:val="24"/>
          <w:szCs w:val="24"/>
          <w:lang w:val="en-GB"/>
        </w:rPr>
        <w:t xml:space="preserve">The following </w:t>
      </w:r>
      <w:r>
        <w:rPr>
          <w:rFonts w:ascii="Times New Roman" w:hAnsi="Times New Roman" w:cs="Times New Roman"/>
          <w:sz w:val="24"/>
          <w:szCs w:val="24"/>
          <w:lang w:val="en-GB"/>
        </w:rPr>
        <w:t xml:space="preserve">items provide a deeper insight into how grading tables work. The Egracons Grading Tables adhere to this format, but the concrete data needed for the Egracons project template are described separately in the </w:t>
      </w:r>
      <w:r w:rsidRPr="00EC3D91">
        <w:rPr>
          <w:rFonts w:ascii="Times New Roman" w:hAnsi="Times New Roman" w:cs="Times New Roman"/>
          <w:b/>
          <w:sz w:val="24"/>
          <w:szCs w:val="24"/>
          <w:lang w:val="en-GB"/>
        </w:rPr>
        <w:t>Grading Table Template instructions</w:t>
      </w:r>
      <w:r>
        <w:rPr>
          <w:rFonts w:ascii="Times New Roman" w:hAnsi="Times New Roman" w:cs="Times New Roman"/>
          <w:sz w:val="24"/>
          <w:szCs w:val="24"/>
          <w:lang w:val="en-GB"/>
        </w:rPr>
        <w:t xml:space="preserve"> on how to fill in the </w:t>
      </w:r>
      <w:r w:rsidRPr="00EC3D91">
        <w:rPr>
          <w:rFonts w:ascii="Times New Roman" w:hAnsi="Times New Roman" w:cs="Times New Roman"/>
          <w:b/>
          <w:sz w:val="24"/>
          <w:szCs w:val="24"/>
          <w:lang w:val="en-GB"/>
        </w:rPr>
        <w:t>Grading Table Template</w:t>
      </w:r>
      <w:r w:rsidRPr="00EC3D91">
        <w:rPr>
          <w:rFonts w:ascii="Times New Roman" w:hAnsi="Times New Roman" w:cs="Times New Roman"/>
          <w:sz w:val="24"/>
          <w:szCs w:val="24"/>
          <w:lang w:val="en-GB"/>
        </w:rPr>
        <w:t>.</w:t>
      </w:r>
      <w:r w:rsidR="00EC3D91">
        <w:rPr>
          <w:rFonts w:ascii="Times New Roman" w:hAnsi="Times New Roman" w:cs="Times New Roman"/>
          <w:sz w:val="24"/>
          <w:szCs w:val="24"/>
          <w:lang w:val="en-GB"/>
        </w:rPr>
        <w:t xml:space="preserve"> Please find these documents </w:t>
      </w:r>
      <w:hyperlink r:id="rId12" w:history="1">
        <w:r w:rsidR="00EC3D91" w:rsidRPr="00EC3D91">
          <w:rPr>
            <w:rStyle w:val="Hyperlink"/>
            <w:rFonts w:ascii="Times New Roman" w:hAnsi="Times New Roman" w:cs="Times New Roman"/>
            <w:sz w:val="24"/>
            <w:szCs w:val="24"/>
            <w:lang w:val="en-GB"/>
          </w:rPr>
          <w:t>on the website</w:t>
        </w:r>
      </w:hyperlink>
      <w:r w:rsidR="00EC3D91">
        <w:rPr>
          <w:rFonts w:ascii="Times New Roman" w:hAnsi="Times New Roman" w:cs="Times New Roman"/>
          <w:sz w:val="24"/>
          <w:szCs w:val="24"/>
          <w:lang w:val="en-GB"/>
        </w:rPr>
        <w:t>.</w:t>
      </w:r>
    </w:p>
    <w:p w:rsidR="005909B1" w:rsidRPr="002469D3" w:rsidRDefault="005909B1" w:rsidP="00990133">
      <w:pPr>
        <w:autoSpaceDE w:val="0"/>
        <w:autoSpaceDN w:val="0"/>
        <w:adjustRightInd w:val="0"/>
        <w:spacing w:after="0" w:line="240" w:lineRule="auto"/>
        <w:ind w:left="284" w:hanging="284"/>
        <w:jc w:val="both"/>
        <w:rPr>
          <w:rFonts w:ascii="Times New Roman" w:hAnsi="Times New Roman" w:cs="Times New Roman"/>
          <w:sz w:val="24"/>
          <w:szCs w:val="24"/>
          <w:lang w:val="en-GB"/>
        </w:rPr>
      </w:pPr>
    </w:p>
    <w:p w:rsidR="00684311" w:rsidRPr="002469D3" w:rsidRDefault="00167D4E" w:rsidP="00990133">
      <w:pPr>
        <w:pStyle w:val="Lijstalinea"/>
        <w:numPr>
          <w:ilvl w:val="0"/>
          <w:numId w:val="15"/>
        </w:numPr>
        <w:ind w:left="284" w:hanging="284"/>
        <w:jc w:val="both"/>
        <w:rPr>
          <w:rFonts w:ascii="Times New Roman" w:hAnsi="Times New Roman" w:cs="Times New Roman"/>
          <w:sz w:val="24"/>
          <w:szCs w:val="24"/>
          <w:lang w:val="en-GB"/>
        </w:rPr>
      </w:pPr>
      <w:r w:rsidRPr="002469D3">
        <w:rPr>
          <w:rFonts w:ascii="Times New Roman" w:hAnsi="Times New Roman" w:cs="Times New Roman"/>
          <w:b/>
          <w:sz w:val="24"/>
          <w:szCs w:val="24"/>
          <w:lang w:val="en-GB"/>
        </w:rPr>
        <w:t>Identif</w:t>
      </w:r>
      <w:r w:rsidR="00AE4CB6" w:rsidRPr="002469D3">
        <w:rPr>
          <w:rFonts w:ascii="Times New Roman" w:hAnsi="Times New Roman" w:cs="Times New Roman"/>
          <w:b/>
          <w:sz w:val="24"/>
          <w:szCs w:val="24"/>
          <w:lang w:val="en-GB"/>
        </w:rPr>
        <w:t xml:space="preserve">ication of </w:t>
      </w:r>
      <w:r w:rsidRPr="002469D3">
        <w:rPr>
          <w:rFonts w:ascii="Times New Roman" w:hAnsi="Times New Roman" w:cs="Times New Roman"/>
          <w:b/>
          <w:sz w:val="24"/>
          <w:szCs w:val="24"/>
          <w:lang w:val="en-GB"/>
        </w:rPr>
        <w:t xml:space="preserve">the reference group </w:t>
      </w:r>
      <w:r w:rsidR="00C75AD8" w:rsidRPr="002469D3">
        <w:rPr>
          <w:rFonts w:ascii="Times New Roman" w:hAnsi="Times New Roman" w:cs="Times New Roman"/>
          <w:b/>
          <w:sz w:val="24"/>
          <w:szCs w:val="24"/>
          <w:lang w:val="en-GB"/>
        </w:rPr>
        <w:t xml:space="preserve">for which the grade </w:t>
      </w:r>
      <w:r w:rsidR="00AE4CB6" w:rsidRPr="002469D3">
        <w:rPr>
          <w:rFonts w:ascii="Times New Roman" w:hAnsi="Times New Roman" w:cs="Times New Roman"/>
          <w:b/>
          <w:sz w:val="24"/>
          <w:szCs w:val="24"/>
          <w:lang w:val="en-GB"/>
        </w:rPr>
        <w:t xml:space="preserve">distribution will be calculated. </w:t>
      </w:r>
    </w:p>
    <w:p w:rsidR="00684311" w:rsidRPr="002469D3" w:rsidRDefault="0038390D" w:rsidP="00990133">
      <w:pPr>
        <w:pStyle w:val="Lijstalinea"/>
        <w:numPr>
          <w:ilvl w:val="0"/>
          <w:numId w:val="20"/>
        </w:numPr>
        <w:jc w:val="both"/>
        <w:rPr>
          <w:rFonts w:ascii="Times New Roman" w:hAnsi="Times New Roman" w:cs="Times New Roman"/>
          <w:sz w:val="24"/>
          <w:szCs w:val="24"/>
          <w:lang w:val="en-GB"/>
        </w:rPr>
      </w:pPr>
      <w:r>
        <w:rPr>
          <w:rFonts w:ascii="Times New Roman" w:hAnsi="Times New Roman" w:cs="Times New Roman"/>
          <w:sz w:val="24"/>
          <w:szCs w:val="24"/>
          <w:lang w:val="en-GB"/>
        </w:rPr>
        <w:t>Grading tables are basically frequency distribution tables for the grades (or marks) obtained by students within the reference group. They are made separately f</w:t>
      </w:r>
      <w:r w:rsidR="00F01C4A">
        <w:rPr>
          <w:rFonts w:ascii="Times New Roman" w:hAnsi="Times New Roman" w:cs="Times New Roman"/>
          <w:sz w:val="24"/>
          <w:szCs w:val="24"/>
          <w:lang w:val="en-GB"/>
        </w:rPr>
        <w:t>or the 2</w:t>
      </w:r>
      <w:r w:rsidR="00BE6766">
        <w:rPr>
          <w:rFonts w:ascii="Times New Roman" w:hAnsi="Times New Roman" w:cs="Times New Roman"/>
          <w:sz w:val="24"/>
          <w:szCs w:val="24"/>
          <w:lang w:val="en-GB"/>
        </w:rPr>
        <w:t xml:space="preserve"> cycles of HE: </w:t>
      </w:r>
      <w:r w:rsidR="00684311" w:rsidRPr="002469D3">
        <w:rPr>
          <w:rFonts w:ascii="Times New Roman" w:hAnsi="Times New Roman" w:cs="Times New Roman"/>
          <w:sz w:val="24"/>
          <w:szCs w:val="24"/>
          <w:lang w:val="en-GB"/>
        </w:rPr>
        <w:t xml:space="preserve">Ba, Ma, </w:t>
      </w:r>
      <w:r w:rsidR="00694F54" w:rsidRPr="002469D3">
        <w:rPr>
          <w:rFonts w:ascii="Times New Roman" w:hAnsi="Times New Roman" w:cs="Times New Roman"/>
          <w:sz w:val="24"/>
          <w:szCs w:val="24"/>
          <w:lang w:val="en-GB"/>
        </w:rPr>
        <w:t>(</w:t>
      </w:r>
      <w:r w:rsidR="00684311" w:rsidRPr="002469D3">
        <w:rPr>
          <w:rFonts w:ascii="Times New Roman" w:hAnsi="Times New Roman" w:cs="Times New Roman"/>
          <w:sz w:val="24"/>
          <w:szCs w:val="24"/>
          <w:lang w:val="en-GB"/>
        </w:rPr>
        <w:t>PhD</w:t>
      </w:r>
      <w:r w:rsidR="006E5CBE">
        <w:rPr>
          <w:rFonts w:ascii="Times New Roman" w:hAnsi="Times New Roman" w:cs="Times New Roman"/>
          <w:sz w:val="24"/>
          <w:szCs w:val="24"/>
          <w:lang w:val="en-GB"/>
        </w:rPr>
        <w:t xml:space="preserve"> level should be done in theory, but in many universities no data are available</w:t>
      </w:r>
      <w:r w:rsidR="00694F54" w:rsidRPr="002469D3">
        <w:rPr>
          <w:rFonts w:ascii="Times New Roman" w:hAnsi="Times New Roman" w:cs="Times New Roman"/>
          <w:sz w:val="24"/>
          <w:szCs w:val="24"/>
          <w:lang w:val="en-GB"/>
        </w:rPr>
        <w:t>)</w:t>
      </w:r>
      <w:r w:rsidR="009C6E9A" w:rsidRPr="002469D3">
        <w:rPr>
          <w:rFonts w:ascii="Times New Roman" w:hAnsi="Times New Roman" w:cs="Times New Roman"/>
          <w:sz w:val="24"/>
          <w:szCs w:val="24"/>
          <w:lang w:val="en-GB"/>
        </w:rPr>
        <w:t xml:space="preserve"> and for each </w:t>
      </w:r>
      <w:r w:rsidR="00E3660A">
        <w:rPr>
          <w:rFonts w:ascii="Times New Roman" w:hAnsi="Times New Roman" w:cs="Times New Roman"/>
          <w:sz w:val="24"/>
          <w:szCs w:val="24"/>
          <w:lang w:val="en-GB"/>
        </w:rPr>
        <w:t xml:space="preserve">degree or </w:t>
      </w:r>
      <w:r w:rsidR="00F01C4A">
        <w:rPr>
          <w:rFonts w:ascii="Times New Roman" w:hAnsi="Times New Roman" w:cs="Times New Roman"/>
          <w:sz w:val="24"/>
          <w:szCs w:val="24"/>
          <w:lang w:val="en-GB"/>
        </w:rPr>
        <w:t>cluster of degrees</w:t>
      </w:r>
      <w:r w:rsidR="00E3660A">
        <w:rPr>
          <w:rFonts w:ascii="Times New Roman" w:hAnsi="Times New Roman" w:cs="Times New Roman"/>
          <w:sz w:val="24"/>
          <w:szCs w:val="24"/>
          <w:lang w:val="en-GB"/>
        </w:rPr>
        <w:t xml:space="preserve">. Egracons </w:t>
      </w:r>
      <w:r w:rsidR="000F211B">
        <w:rPr>
          <w:rFonts w:ascii="Times New Roman" w:hAnsi="Times New Roman" w:cs="Times New Roman"/>
          <w:sz w:val="24"/>
          <w:szCs w:val="24"/>
          <w:lang w:val="en-GB"/>
        </w:rPr>
        <w:t>identifies the</w:t>
      </w:r>
      <w:r w:rsidR="00E3660A">
        <w:rPr>
          <w:rFonts w:ascii="Times New Roman" w:hAnsi="Times New Roman" w:cs="Times New Roman"/>
          <w:sz w:val="24"/>
          <w:szCs w:val="24"/>
          <w:lang w:val="en-GB"/>
        </w:rPr>
        <w:t xml:space="preserve"> reference group by combining all degrees </w:t>
      </w:r>
      <w:r w:rsidR="00F01C4A">
        <w:rPr>
          <w:rFonts w:ascii="Times New Roman" w:hAnsi="Times New Roman" w:cs="Times New Roman"/>
          <w:sz w:val="24"/>
          <w:szCs w:val="24"/>
          <w:lang w:val="en-GB"/>
        </w:rPr>
        <w:t xml:space="preserve">with </w:t>
      </w:r>
      <w:r w:rsidR="00E3660A">
        <w:rPr>
          <w:rFonts w:ascii="Times New Roman" w:hAnsi="Times New Roman" w:cs="Times New Roman"/>
          <w:sz w:val="24"/>
          <w:szCs w:val="24"/>
          <w:lang w:val="en-GB"/>
        </w:rPr>
        <w:t xml:space="preserve">the </w:t>
      </w:r>
      <w:r w:rsidR="00E80EF6">
        <w:rPr>
          <w:rFonts w:ascii="Times New Roman" w:hAnsi="Times New Roman" w:cs="Times New Roman"/>
          <w:sz w:val="24"/>
          <w:szCs w:val="24"/>
          <w:lang w:val="en-GB"/>
        </w:rPr>
        <w:t xml:space="preserve">same </w:t>
      </w:r>
      <w:hyperlink r:id="rId13" w:history="1">
        <w:r w:rsidR="00F01C4A" w:rsidRPr="00990133">
          <w:rPr>
            <w:rStyle w:val="Hyperlink"/>
            <w:rFonts w:ascii="Times New Roman" w:hAnsi="Times New Roman" w:cs="Times New Roman"/>
            <w:sz w:val="24"/>
            <w:szCs w:val="24"/>
            <w:lang w:val="en-GB"/>
          </w:rPr>
          <w:t>I</w:t>
        </w:r>
        <w:r w:rsidR="00990133" w:rsidRPr="00990133">
          <w:rPr>
            <w:rStyle w:val="Hyperlink"/>
            <w:rFonts w:ascii="Times New Roman" w:hAnsi="Times New Roman" w:cs="Times New Roman"/>
            <w:sz w:val="24"/>
            <w:szCs w:val="24"/>
            <w:lang w:val="en-GB"/>
          </w:rPr>
          <w:t>SCED F-2013 field of study code</w:t>
        </w:r>
      </w:hyperlink>
      <w:r w:rsidR="00990133">
        <w:rPr>
          <w:rFonts w:ascii="Times New Roman" w:hAnsi="Times New Roman" w:cs="Times New Roman"/>
          <w:sz w:val="24"/>
          <w:szCs w:val="24"/>
          <w:lang w:val="en-GB"/>
        </w:rPr>
        <w:t xml:space="preserve">. </w:t>
      </w:r>
      <w:r w:rsidR="00E3660A">
        <w:rPr>
          <w:rFonts w:ascii="Times New Roman" w:hAnsi="Times New Roman" w:cs="Times New Roman"/>
          <w:sz w:val="24"/>
          <w:szCs w:val="24"/>
          <w:lang w:val="en-GB"/>
        </w:rPr>
        <w:t xml:space="preserve">Egracons. The </w:t>
      </w:r>
      <w:r w:rsidR="00F01C4A">
        <w:rPr>
          <w:rFonts w:ascii="Times New Roman" w:hAnsi="Times New Roman" w:cs="Times New Roman"/>
          <w:sz w:val="24"/>
          <w:szCs w:val="24"/>
          <w:lang w:val="en-GB"/>
        </w:rPr>
        <w:t>ISCED</w:t>
      </w:r>
      <w:r w:rsidR="005056F9">
        <w:rPr>
          <w:rFonts w:ascii="Times New Roman" w:hAnsi="Times New Roman" w:cs="Times New Roman"/>
          <w:sz w:val="24"/>
          <w:szCs w:val="24"/>
          <w:lang w:val="en-GB"/>
        </w:rPr>
        <w:t xml:space="preserve"> field of </w:t>
      </w:r>
      <w:r w:rsidR="005056F9">
        <w:rPr>
          <w:rFonts w:ascii="Times New Roman" w:hAnsi="Times New Roman" w:cs="Times New Roman"/>
          <w:sz w:val="24"/>
          <w:szCs w:val="24"/>
          <w:lang w:val="en-GB"/>
        </w:rPr>
        <w:lastRenderedPageBreak/>
        <w:t xml:space="preserve">study </w:t>
      </w:r>
      <w:r w:rsidR="00F01C4A">
        <w:rPr>
          <w:rFonts w:ascii="Times New Roman" w:hAnsi="Times New Roman" w:cs="Times New Roman"/>
          <w:sz w:val="24"/>
          <w:szCs w:val="24"/>
          <w:lang w:val="en-GB"/>
        </w:rPr>
        <w:t>codes can be at the broad</w:t>
      </w:r>
      <w:r w:rsidR="00B30EDB">
        <w:rPr>
          <w:rFonts w:ascii="Times New Roman" w:hAnsi="Times New Roman" w:cs="Times New Roman"/>
          <w:sz w:val="24"/>
          <w:szCs w:val="24"/>
          <w:lang w:val="en-GB"/>
        </w:rPr>
        <w:t xml:space="preserve"> (2 digits)</w:t>
      </w:r>
      <w:r w:rsidR="00F01C4A">
        <w:rPr>
          <w:rFonts w:ascii="Times New Roman" w:hAnsi="Times New Roman" w:cs="Times New Roman"/>
          <w:sz w:val="24"/>
          <w:szCs w:val="24"/>
          <w:lang w:val="en-GB"/>
        </w:rPr>
        <w:t xml:space="preserve">, narrow </w:t>
      </w:r>
      <w:r w:rsidR="00B30EDB">
        <w:rPr>
          <w:rFonts w:ascii="Times New Roman" w:hAnsi="Times New Roman" w:cs="Times New Roman"/>
          <w:sz w:val="24"/>
          <w:szCs w:val="24"/>
          <w:lang w:val="en-GB"/>
        </w:rPr>
        <w:t xml:space="preserve">(3 digits) </w:t>
      </w:r>
      <w:r w:rsidR="00F01C4A">
        <w:rPr>
          <w:rFonts w:ascii="Times New Roman" w:hAnsi="Times New Roman" w:cs="Times New Roman"/>
          <w:sz w:val="24"/>
          <w:szCs w:val="24"/>
          <w:lang w:val="en-GB"/>
        </w:rPr>
        <w:t>or detailed level</w:t>
      </w:r>
      <w:r w:rsidR="0070266A">
        <w:rPr>
          <w:rFonts w:ascii="Times New Roman" w:hAnsi="Times New Roman" w:cs="Times New Roman"/>
          <w:sz w:val="24"/>
          <w:szCs w:val="24"/>
          <w:lang w:val="en-GB"/>
        </w:rPr>
        <w:t>s (4</w:t>
      </w:r>
      <w:r w:rsidR="00B30EDB">
        <w:rPr>
          <w:rFonts w:ascii="Times New Roman" w:hAnsi="Times New Roman" w:cs="Times New Roman"/>
          <w:sz w:val="24"/>
          <w:szCs w:val="24"/>
          <w:lang w:val="en-GB"/>
        </w:rPr>
        <w:t xml:space="preserve"> digits)</w:t>
      </w:r>
      <w:r w:rsidR="00F01C4A">
        <w:rPr>
          <w:rFonts w:ascii="Times New Roman" w:hAnsi="Times New Roman" w:cs="Times New Roman"/>
          <w:sz w:val="24"/>
          <w:szCs w:val="24"/>
          <w:lang w:val="en-GB"/>
        </w:rPr>
        <w:t xml:space="preserve">. </w:t>
      </w:r>
      <w:r w:rsidR="00E3660A">
        <w:rPr>
          <w:rFonts w:ascii="Times New Roman" w:hAnsi="Times New Roman" w:cs="Times New Roman"/>
          <w:sz w:val="24"/>
          <w:szCs w:val="24"/>
          <w:lang w:val="en-GB"/>
        </w:rPr>
        <w:t>Egracons</w:t>
      </w:r>
      <w:r w:rsidR="001E23F7">
        <w:rPr>
          <w:rFonts w:ascii="Times New Roman" w:hAnsi="Times New Roman" w:cs="Times New Roman"/>
          <w:sz w:val="24"/>
          <w:szCs w:val="24"/>
          <w:lang w:val="en-GB"/>
        </w:rPr>
        <w:t>, however, uses</w:t>
      </w:r>
      <w:r w:rsidR="00E3660A">
        <w:rPr>
          <w:rFonts w:ascii="Times New Roman" w:hAnsi="Times New Roman" w:cs="Times New Roman"/>
          <w:sz w:val="24"/>
          <w:szCs w:val="24"/>
          <w:lang w:val="en-GB"/>
        </w:rPr>
        <w:t xml:space="preserve"> codes at the detailed </w:t>
      </w:r>
      <w:r w:rsidR="00B30EDB">
        <w:rPr>
          <w:rFonts w:ascii="Times New Roman" w:hAnsi="Times New Roman" w:cs="Times New Roman"/>
          <w:sz w:val="24"/>
          <w:szCs w:val="24"/>
          <w:lang w:val="en-GB"/>
        </w:rPr>
        <w:t>level</w:t>
      </w:r>
      <w:r w:rsidR="0070266A">
        <w:rPr>
          <w:rFonts w:ascii="Times New Roman" w:hAnsi="Times New Roman" w:cs="Times New Roman"/>
          <w:sz w:val="24"/>
          <w:szCs w:val="24"/>
          <w:lang w:val="en-GB"/>
        </w:rPr>
        <w:t xml:space="preserve"> (4 digits), but we can </w:t>
      </w:r>
      <w:r w:rsidR="001E23F7">
        <w:rPr>
          <w:rFonts w:ascii="Times New Roman" w:hAnsi="Times New Roman" w:cs="Times New Roman"/>
          <w:sz w:val="24"/>
          <w:szCs w:val="24"/>
          <w:lang w:val="en-GB"/>
        </w:rPr>
        <w:t xml:space="preserve">simulate </w:t>
      </w:r>
      <w:r w:rsidR="0070266A">
        <w:rPr>
          <w:rFonts w:ascii="Times New Roman" w:hAnsi="Times New Roman" w:cs="Times New Roman"/>
          <w:sz w:val="24"/>
          <w:szCs w:val="24"/>
          <w:lang w:val="en-GB"/>
        </w:rPr>
        <w:t xml:space="preserve"> narrow codes </w:t>
      </w:r>
      <w:r w:rsidR="001E23F7">
        <w:rPr>
          <w:rFonts w:ascii="Times New Roman" w:hAnsi="Times New Roman" w:cs="Times New Roman"/>
          <w:sz w:val="24"/>
          <w:szCs w:val="24"/>
          <w:lang w:val="en-GB"/>
        </w:rPr>
        <w:t xml:space="preserve">(3 digits) or broad codes </w:t>
      </w:r>
      <w:r w:rsidR="0070266A">
        <w:rPr>
          <w:rFonts w:ascii="Times New Roman" w:hAnsi="Times New Roman" w:cs="Times New Roman"/>
          <w:sz w:val="24"/>
          <w:szCs w:val="24"/>
          <w:lang w:val="en-GB"/>
        </w:rPr>
        <w:t>if we</w:t>
      </w:r>
      <w:r w:rsidR="001E23F7">
        <w:rPr>
          <w:rFonts w:ascii="Times New Roman" w:hAnsi="Times New Roman" w:cs="Times New Roman"/>
          <w:sz w:val="24"/>
          <w:szCs w:val="24"/>
          <w:lang w:val="en-GB"/>
        </w:rPr>
        <w:t xml:space="preserve"> add one or more </w:t>
      </w:r>
      <w:r w:rsidR="0070266A">
        <w:rPr>
          <w:rFonts w:ascii="Times New Roman" w:hAnsi="Times New Roman" w:cs="Times New Roman"/>
          <w:sz w:val="24"/>
          <w:szCs w:val="24"/>
          <w:lang w:val="en-GB"/>
        </w:rPr>
        <w:t xml:space="preserve"> 8</w:t>
      </w:r>
      <w:r w:rsidR="001E23F7">
        <w:rPr>
          <w:rFonts w:ascii="Times New Roman" w:hAnsi="Times New Roman" w:cs="Times New Roman"/>
          <w:sz w:val="24"/>
          <w:szCs w:val="24"/>
          <w:lang w:val="en-GB"/>
        </w:rPr>
        <w:t>s</w:t>
      </w:r>
      <w:r w:rsidR="0070266A">
        <w:rPr>
          <w:rFonts w:ascii="Times New Roman" w:hAnsi="Times New Roman" w:cs="Times New Roman"/>
          <w:sz w:val="24"/>
          <w:szCs w:val="24"/>
          <w:lang w:val="en-GB"/>
        </w:rPr>
        <w:t>.</w:t>
      </w:r>
      <w:r w:rsidR="00990133">
        <w:rPr>
          <w:rFonts w:ascii="Times New Roman" w:hAnsi="Times New Roman" w:cs="Times New Roman"/>
          <w:sz w:val="24"/>
          <w:szCs w:val="24"/>
          <w:lang w:val="en-GB"/>
        </w:rPr>
        <w:t xml:space="preserve"> (</w:t>
      </w:r>
      <w:hyperlink r:id="rId14" w:history="1">
        <w:r w:rsidR="00990133" w:rsidRPr="00990133">
          <w:rPr>
            <w:rStyle w:val="Hyperlink"/>
            <w:rFonts w:ascii="Times New Roman" w:hAnsi="Times New Roman" w:cs="Times New Roman"/>
            <w:sz w:val="24"/>
            <w:szCs w:val="24"/>
            <w:lang w:val="en-GB"/>
          </w:rPr>
          <w:t>Read more here</w:t>
        </w:r>
      </w:hyperlink>
      <w:r w:rsidR="00990133">
        <w:rPr>
          <w:rFonts w:ascii="Times New Roman" w:hAnsi="Times New Roman" w:cs="Times New Roman"/>
          <w:sz w:val="24"/>
          <w:szCs w:val="24"/>
          <w:lang w:val="en-GB"/>
        </w:rPr>
        <w:t>).</w:t>
      </w:r>
      <w:r w:rsidR="00E3660A">
        <w:rPr>
          <w:rFonts w:ascii="Times New Roman" w:hAnsi="Times New Roman" w:cs="Times New Roman"/>
          <w:sz w:val="24"/>
          <w:szCs w:val="24"/>
          <w:lang w:val="en-GB"/>
        </w:rPr>
        <w:t xml:space="preserve"> </w:t>
      </w:r>
    </w:p>
    <w:p w:rsidR="005056F9" w:rsidRPr="005056F9" w:rsidRDefault="00E3660A" w:rsidP="00990133">
      <w:pPr>
        <w:pStyle w:val="Lijstalinea"/>
        <w:numPr>
          <w:ilvl w:val="0"/>
          <w:numId w:val="20"/>
        </w:numPr>
        <w:jc w:val="both"/>
        <w:rPr>
          <w:rFonts w:ascii="Times New Roman" w:hAnsi="Times New Roman" w:cs="Times New Roman"/>
          <w:sz w:val="24"/>
          <w:szCs w:val="24"/>
          <w:lang w:val="en-GB"/>
        </w:rPr>
      </w:pPr>
      <w:r>
        <w:rPr>
          <w:rFonts w:ascii="Times New Roman" w:hAnsi="Times New Roman" w:cs="Times New Roman"/>
          <w:sz w:val="24"/>
          <w:szCs w:val="24"/>
          <w:lang w:val="en-GB"/>
        </w:rPr>
        <w:t>Per degree</w:t>
      </w:r>
      <w:r w:rsidR="00D0315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006E5CBE">
        <w:rPr>
          <w:rFonts w:ascii="Times New Roman" w:hAnsi="Times New Roman" w:cs="Times New Roman"/>
          <w:sz w:val="24"/>
          <w:szCs w:val="24"/>
          <w:lang w:val="en-GB"/>
        </w:rPr>
        <w:t xml:space="preserve">group of students considered </w:t>
      </w:r>
      <w:r w:rsidR="00F61355">
        <w:rPr>
          <w:rFonts w:ascii="Times New Roman" w:hAnsi="Times New Roman" w:cs="Times New Roman"/>
          <w:sz w:val="24"/>
          <w:szCs w:val="24"/>
          <w:lang w:val="en-GB"/>
        </w:rPr>
        <w:t xml:space="preserve">as a reference group </w:t>
      </w:r>
      <w:r w:rsidR="009C6E9A" w:rsidRPr="002469D3">
        <w:rPr>
          <w:rFonts w:ascii="Times New Roman" w:hAnsi="Times New Roman" w:cs="Times New Roman"/>
          <w:sz w:val="24"/>
          <w:szCs w:val="24"/>
          <w:lang w:val="en-GB"/>
        </w:rPr>
        <w:t>consists of all the students</w:t>
      </w:r>
      <w:r w:rsidR="003F21ED" w:rsidRPr="002469D3">
        <w:rPr>
          <w:rFonts w:ascii="Times New Roman" w:hAnsi="Times New Roman" w:cs="Times New Roman"/>
          <w:sz w:val="24"/>
          <w:szCs w:val="24"/>
          <w:lang w:val="en-GB"/>
        </w:rPr>
        <w:t xml:space="preserve"> </w:t>
      </w:r>
      <w:r w:rsidR="006E5CBE">
        <w:rPr>
          <w:rFonts w:ascii="Times New Roman" w:hAnsi="Times New Roman" w:cs="Times New Roman"/>
          <w:sz w:val="24"/>
          <w:szCs w:val="24"/>
          <w:lang w:val="en-GB"/>
        </w:rPr>
        <w:t xml:space="preserve">registered </w:t>
      </w:r>
      <w:r w:rsidR="003F21ED" w:rsidRPr="002469D3">
        <w:rPr>
          <w:rFonts w:ascii="Times New Roman" w:hAnsi="Times New Roman" w:cs="Times New Roman"/>
          <w:sz w:val="24"/>
          <w:szCs w:val="24"/>
          <w:lang w:val="en-GB"/>
        </w:rPr>
        <w:t>for that degree</w:t>
      </w:r>
      <w:r w:rsidR="005056F9">
        <w:rPr>
          <w:rFonts w:ascii="Times New Roman" w:hAnsi="Times New Roman" w:cs="Times New Roman"/>
          <w:sz w:val="24"/>
          <w:szCs w:val="24"/>
          <w:lang w:val="en-GB"/>
        </w:rPr>
        <w:t xml:space="preserve"> </w:t>
      </w:r>
      <w:r w:rsidR="0070266A">
        <w:rPr>
          <w:rFonts w:ascii="Times New Roman" w:hAnsi="Times New Roman" w:cs="Times New Roman"/>
          <w:sz w:val="24"/>
          <w:szCs w:val="24"/>
          <w:lang w:val="en-GB"/>
        </w:rPr>
        <w:t>(all the years) in</w:t>
      </w:r>
      <w:r w:rsidR="005056F9">
        <w:rPr>
          <w:rFonts w:ascii="Times New Roman" w:hAnsi="Times New Roman" w:cs="Times New Roman"/>
          <w:sz w:val="24"/>
          <w:szCs w:val="24"/>
          <w:lang w:val="en-GB"/>
        </w:rPr>
        <w:t xml:space="preserve"> a given academic year</w:t>
      </w:r>
      <w:r w:rsidR="003F21ED" w:rsidRPr="002469D3">
        <w:rPr>
          <w:rFonts w:ascii="Times New Roman" w:hAnsi="Times New Roman" w:cs="Times New Roman"/>
          <w:sz w:val="24"/>
          <w:szCs w:val="24"/>
          <w:lang w:val="en-GB"/>
        </w:rPr>
        <w:t xml:space="preserve"> </w:t>
      </w:r>
      <w:r w:rsidR="0010007C">
        <w:rPr>
          <w:rFonts w:ascii="Times New Roman" w:hAnsi="Times New Roman" w:cs="Times New Roman"/>
          <w:sz w:val="24"/>
          <w:szCs w:val="24"/>
          <w:lang w:val="en-GB"/>
        </w:rPr>
        <w:t>(</w:t>
      </w:r>
      <w:r w:rsidR="0010007C" w:rsidRPr="001E23F7">
        <w:rPr>
          <w:rFonts w:ascii="Times New Roman" w:hAnsi="Times New Roman" w:cs="Times New Roman"/>
          <w:b/>
          <w:sz w:val="24"/>
          <w:szCs w:val="24"/>
          <w:lang w:val="en-GB"/>
        </w:rPr>
        <w:t>except the first</w:t>
      </w:r>
      <w:r w:rsidR="006B7D6C" w:rsidRPr="001E23F7">
        <w:rPr>
          <w:rFonts w:ascii="Times New Roman" w:hAnsi="Times New Roman" w:cs="Times New Roman"/>
          <w:b/>
          <w:sz w:val="24"/>
          <w:szCs w:val="24"/>
          <w:lang w:val="en-GB"/>
        </w:rPr>
        <w:t xml:space="preserve"> year</w:t>
      </w:r>
      <w:r w:rsidR="006B7D6C">
        <w:rPr>
          <w:rFonts w:ascii="Times New Roman" w:hAnsi="Times New Roman" w:cs="Times New Roman"/>
          <w:sz w:val="24"/>
          <w:szCs w:val="24"/>
          <w:lang w:val="en-GB"/>
        </w:rPr>
        <w:t xml:space="preserve"> in the case of Bachelors</w:t>
      </w:r>
      <w:r w:rsidR="0010007C">
        <w:rPr>
          <w:rFonts w:ascii="Times New Roman" w:hAnsi="Times New Roman" w:cs="Times New Roman"/>
          <w:sz w:val="24"/>
          <w:szCs w:val="24"/>
          <w:lang w:val="en-GB"/>
        </w:rPr>
        <w:t xml:space="preserve">). </w:t>
      </w:r>
      <w:r w:rsidR="009C6E9A" w:rsidRPr="002469D3">
        <w:rPr>
          <w:rFonts w:ascii="Times New Roman" w:hAnsi="Times New Roman" w:cs="Times New Roman"/>
          <w:sz w:val="24"/>
          <w:szCs w:val="24"/>
          <w:lang w:val="en-GB"/>
        </w:rPr>
        <w:t>The</w:t>
      </w:r>
      <w:r w:rsidR="005056F9">
        <w:rPr>
          <w:rFonts w:ascii="Times New Roman" w:hAnsi="Times New Roman" w:cs="Times New Roman"/>
          <w:sz w:val="24"/>
          <w:szCs w:val="24"/>
          <w:lang w:val="en-GB"/>
        </w:rPr>
        <w:t>se</w:t>
      </w:r>
      <w:r w:rsidR="009C6E9A" w:rsidRPr="002469D3">
        <w:rPr>
          <w:rFonts w:ascii="Times New Roman" w:hAnsi="Times New Roman" w:cs="Times New Roman"/>
          <w:sz w:val="24"/>
          <w:szCs w:val="24"/>
          <w:lang w:val="en-GB"/>
        </w:rPr>
        <w:t xml:space="preserve"> data should be collected for </w:t>
      </w:r>
      <w:r w:rsidR="001E23F7">
        <w:rPr>
          <w:rFonts w:ascii="Times New Roman" w:hAnsi="Times New Roman" w:cs="Times New Roman"/>
          <w:sz w:val="24"/>
          <w:szCs w:val="24"/>
          <w:lang w:val="en-GB"/>
        </w:rPr>
        <w:t xml:space="preserve">at least </w:t>
      </w:r>
      <w:r w:rsidR="009C6E9A" w:rsidRPr="002469D3">
        <w:rPr>
          <w:rFonts w:ascii="Times New Roman" w:hAnsi="Times New Roman" w:cs="Times New Roman"/>
          <w:sz w:val="24"/>
          <w:szCs w:val="24"/>
          <w:lang w:val="en-GB"/>
        </w:rPr>
        <w:t xml:space="preserve">the last 2 </w:t>
      </w:r>
      <w:r w:rsidR="005056F9">
        <w:rPr>
          <w:rFonts w:ascii="Times New Roman" w:hAnsi="Times New Roman" w:cs="Times New Roman"/>
          <w:sz w:val="24"/>
          <w:szCs w:val="24"/>
          <w:lang w:val="en-GB"/>
        </w:rPr>
        <w:t xml:space="preserve">or 3 </w:t>
      </w:r>
      <w:r w:rsidR="00694F54" w:rsidRPr="002469D3">
        <w:rPr>
          <w:rFonts w:ascii="Times New Roman" w:hAnsi="Times New Roman" w:cs="Times New Roman"/>
          <w:sz w:val="24"/>
          <w:szCs w:val="24"/>
          <w:lang w:val="en-GB"/>
        </w:rPr>
        <w:t xml:space="preserve">academic </w:t>
      </w:r>
      <w:r w:rsidR="005056F9">
        <w:rPr>
          <w:rFonts w:ascii="Times New Roman" w:hAnsi="Times New Roman" w:cs="Times New Roman"/>
          <w:sz w:val="24"/>
          <w:szCs w:val="24"/>
          <w:lang w:val="en-GB"/>
        </w:rPr>
        <w:t>years</w:t>
      </w:r>
      <w:r w:rsidR="009C6E9A" w:rsidRPr="002469D3">
        <w:rPr>
          <w:rFonts w:ascii="Times New Roman" w:hAnsi="Times New Roman" w:cs="Times New Roman"/>
          <w:sz w:val="24"/>
          <w:szCs w:val="24"/>
          <w:lang w:val="en-GB"/>
        </w:rPr>
        <w:t xml:space="preserve">. </w:t>
      </w:r>
      <w:r w:rsidR="001E23F7">
        <w:rPr>
          <w:rFonts w:ascii="Times New Roman" w:hAnsi="Times New Roman" w:cs="Times New Roman"/>
          <w:sz w:val="24"/>
          <w:szCs w:val="24"/>
          <w:lang w:val="en-GB"/>
        </w:rPr>
        <w:t xml:space="preserve">It is allowed to go back more years. </w:t>
      </w:r>
      <w:r w:rsidR="009C6E9A" w:rsidRPr="002469D3">
        <w:rPr>
          <w:rFonts w:ascii="Times New Roman" w:hAnsi="Times New Roman" w:cs="Times New Roman"/>
          <w:sz w:val="24"/>
          <w:szCs w:val="24"/>
          <w:lang w:val="en-GB"/>
        </w:rPr>
        <w:t xml:space="preserve">Note that we </w:t>
      </w:r>
      <w:r w:rsidR="003F21ED" w:rsidRPr="002469D3">
        <w:rPr>
          <w:rFonts w:ascii="Times New Roman" w:hAnsi="Times New Roman" w:cs="Times New Roman"/>
          <w:sz w:val="24"/>
          <w:szCs w:val="24"/>
          <w:lang w:val="en-GB"/>
        </w:rPr>
        <w:t xml:space="preserve">do not start out </w:t>
      </w:r>
      <w:r>
        <w:rPr>
          <w:rFonts w:ascii="Times New Roman" w:hAnsi="Times New Roman" w:cs="Times New Roman"/>
          <w:sz w:val="24"/>
          <w:szCs w:val="24"/>
          <w:lang w:val="en-GB"/>
        </w:rPr>
        <w:t xml:space="preserve">only </w:t>
      </w:r>
      <w:r w:rsidR="003F21ED" w:rsidRPr="002469D3">
        <w:rPr>
          <w:rFonts w:ascii="Times New Roman" w:hAnsi="Times New Roman" w:cs="Times New Roman"/>
          <w:sz w:val="24"/>
          <w:szCs w:val="24"/>
          <w:lang w:val="en-GB"/>
        </w:rPr>
        <w:t xml:space="preserve">from </w:t>
      </w:r>
      <w:r w:rsidR="005056F9">
        <w:rPr>
          <w:rFonts w:ascii="Times New Roman" w:hAnsi="Times New Roman" w:cs="Times New Roman"/>
          <w:sz w:val="24"/>
          <w:szCs w:val="24"/>
          <w:lang w:val="en-GB"/>
        </w:rPr>
        <w:t xml:space="preserve">students who </w:t>
      </w:r>
      <w:r>
        <w:rPr>
          <w:rFonts w:ascii="Times New Roman" w:hAnsi="Times New Roman" w:cs="Times New Roman"/>
          <w:sz w:val="24"/>
          <w:szCs w:val="24"/>
          <w:lang w:val="en-GB"/>
        </w:rPr>
        <w:t xml:space="preserve">have </w:t>
      </w:r>
      <w:r w:rsidR="003F21ED" w:rsidRPr="002469D3">
        <w:rPr>
          <w:rFonts w:ascii="Times New Roman" w:hAnsi="Times New Roman" w:cs="Times New Roman"/>
          <w:sz w:val="24"/>
          <w:szCs w:val="24"/>
          <w:lang w:val="en-GB"/>
        </w:rPr>
        <w:t xml:space="preserve">graduated </w:t>
      </w:r>
      <w:r w:rsidR="006B7D6C">
        <w:rPr>
          <w:rFonts w:ascii="Times New Roman" w:hAnsi="Times New Roman" w:cs="Times New Roman"/>
          <w:sz w:val="24"/>
          <w:szCs w:val="24"/>
          <w:lang w:val="en-GB"/>
        </w:rPr>
        <w:t xml:space="preserve">or even successful </w:t>
      </w:r>
      <w:r w:rsidR="003F21ED" w:rsidRPr="002469D3">
        <w:rPr>
          <w:rFonts w:ascii="Times New Roman" w:hAnsi="Times New Roman" w:cs="Times New Roman"/>
          <w:sz w:val="24"/>
          <w:szCs w:val="24"/>
          <w:lang w:val="en-GB"/>
        </w:rPr>
        <w:t xml:space="preserve">students </w:t>
      </w:r>
      <w:r w:rsidR="006B7D6C">
        <w:rPr>
          <w:rFonts w:ascii="Times New Roman" w:hAnsi="Times New Roman" w:cs="Times New Roman"/>
          <w:sz w:val="24"/>
          <w:szCs w:val="24"/>
          <w:lang w:val="en-GB"/>
        </w:rPr>
        <w:t xml:space="preserve">per year </w:t>
      </w:r>
      <w:r w:rsidR="003F21ED" w:rsidRPr="002469D3">
        <w:rPr>
          <w:rFonts w:ascii="Times New Roman" w:hAnsi="Times New Roman" w:cs="Times New Roman"/>
          <w:sz w:val="24"/>
          <w:szCs w:val="24"/>
          <w:lang w:val="en-GB"/>
        </w:rPr>
        <w:t xml:space="preserve">but from </w:t>
      </w:r>
      <w:r w:rsidR="006B7D6C">
        <w:rPr>
          <w:rFonts w:ascii="Times New Roman" w:hAnsi="Times New Roman" w:cs="Times New Roman"/>
          <w:sz w:val="24"/>
          <w:szCs w:val="24"/>
          <w:lang w:val="en-GB"/>
        </w:rPr>
        <w:t xml:space="preserve">all </w:t>
      </w:r>
      <w:r w:rsidR="003F21ED" w:rsidRPr="002469D3">
        <w:rPr>
          <w:rFonts w:ascii="Times New Roman" w:hAnsi="Times New Roman" w:cs="Times New Roman"/>
          <w:sz w:val="24"/>
          <w:szCs w:val="24"/>
          <w:lang w:val="en-GB"/>
        </w:rPr>
        <w:t>registered students</w:t>
      </w:r>
      <w:r w:rsidR="00694F54" w:rsidRPr="002469D3">
        <w:rPr>
          <w:rFonts w:ascii="Times New Roman" w:hAnsi="Times New Roman" w:cs="Times New Roman"/>
          <w:sz w:val="24"/>
          <w:szCs w:val="24"/>
          <w:lang w:val="en-GB"/>
        </w:rPr>
        <w:t xml:space="preserve"> </w:t>
      </w:r>
      <w:r w:rsidR="006B7D6C">
        <w:rPr>
          <w:rFonts w:ascii="Times New Roman" w:hAnsi="Times New Roman" w:cs="Times New Roman"/>
          <w:sz w:val="24"/>
          <w:szCs w:val="24"/>
          <w:lang w:val="en-GB"/>
        </w:rPr>
        <w:t xml:space="preserve">who passed </w:t>
      </w:r>
      <w:r w:rsidR="001E23F7">
        <w:rPr>
          <w:rFonts w:ascii="Times New Roman" w:hAnsi="Times New Roman" w:cs="Times New Roman"/>
          <w:sz w:val="24"/>
          <w:szCs w:val="24"/>
          <w:lang w:val="en-GB"/>
        </w:rPr>
        <w:t xml:space="preserve">ne or more </w:t>
      </w:r>
      <w:r w:rsidR="006B7D6C">
        <w:rPr>
          <w:rFonts w:ascii="Times New Roman" w:hAnsi="Times New Roman" w:cs="Times New Roman"/>
          <w:sz w:val="24"/>
          <w:szCs w:val="24"/>
          <w:lang w:val="en-GB"/>
        </w:rPr>
        <w:t>exams</w:t>
      </w:r>
      <w:r w:rsidR="001E23F7">
        <w:rPr>
          <w:rFonts w:ascii="Times New Roman" w:hAnsi="Times New Roman" w:cs="Times New Roman"/>
          <w:sz w:val="24"/>
          <w:szCs w:val="24"/>
          <w:lang w:val="en-GB"/>
        </w:rPr>
        <w:t xml:space="preserve"> and received grades for them</w:t>
      </w:r>
      <w:r>
        <w:rPr>
          <w:rFonts w:ascii="Times New Roman" w:hAnsi="Times New Roman" w:cs="Times New Roman"/>
          <w:sz w:val="24"/>
          <w:szCs w:val="24"/>
          <w:lang w:val="en-GB"/>
        </w:rPr>
        <w:t>. The fail marks are left out.</w:t>
      </w:r>
      <w:r w:rsidR="006B7D6C">
        <w:rPr>
          <w:rFonts w:ascii="Times New Roman" w:hAnsi="Times New Roman" w:cs="Times New Roman"/>
          <w:sz w:val="24"/>
          <w:szCs w:val="24"/>
          <w:lang w:val="en-GB"/>
        </w:rPr>
        <w:t xml:space="preserve"> This means that in a typical 3-year Bachelor reference group at a given moment all the students from the last and the preceding academic years are considered and for these 2 years all students who were then in their second or third year . Typically the da</w:t>
      </w:r>
      <w:r w:rsidR="005056F9">
        <w:rPr>
          <w:rFonts w:ascii="Times New Roman" w:hAnsi="Times New Roman" w:cs="Times New Roman"/>
          <w:sz w:val="24"/>
          <w:szCs w:val="24"/>
          <w:lang w:val="en-GB"/>
        </w:rPr>
        <w:t>ta are collected</w:t>
      </w:r>
      <w:r w:rsidR="00F61355">
        <w:rPr>
          <w:rFonts w:ascii="Times New Roman" w:hAnsi="Times New Roman" w:cs="Times New Roman"/>
          <w:sz w:val="24"/>
          <w:szCs w:val="24"/>
          <w:lang w:val="en-GB"/>
        </w:rPr>
        <w:t xml:space="preserve"> and/or renewed</w:t>
      </w:r>
      <w:r w:rsidR="005056F9">
        <w:rPr>
          <w:rFonts w:ascii="Times New Roman" w:hAnsi="Times New Roman" w:cs="Times New Roman"/>
          <w:sz w:val="24"/>
          <w:szCs w:val="24"/>
          <w:lang w:val="en-GB"/>
        </w:rPr>
        <w:t xml:space="preserve"> in November or no later than the end of December</w:t>
      </w:r>
      <w:r w:rsidR="006B7D6C">
        <w:rPr>
          <w:rFonts w:ascii="Times New Roman" w:hAnsi="Times New Roman" w:cs="Times New Roman"/>
          <w:sz w:val="24"/>
          <w:szCs w:val="24"/>
          <w:lang w:val="en-GB"/>
        </w:rPr>
        <w:t xml:space="preserve">, </w:t>
      </w:r>
      <w:r w:rsidR="00EC44AB">
        <w:rPr>
          <w:rFonts w:ascii="Times New Roman" w:hAnsi="Times New Roman" w:cs="Times New Roman"/>
          <w:sz w:val="24"/>
          <w:szCs w:val="24"/>
          <w:lang w:val="en-GB"/>
        </w:rPr>
        <w:t xml:space="preserve">so that </w:t>
      </w:r>
      <w:r w:rsidR="006B7D6C">
        <w:rPr>
          <w:rFonts w:ascii="Times New Roman" w:hAnsi="Times New Roman" w:cs="Times New Roman"/>
          <w:sz w:val="24"/>
          <w:szCs w:val="24"/>
          <w:lang w:val="en-GB"/>
        </w:rPr>
        <w:t xml:space="preserve">the grades from the last academic </w:t>
      </w:r>
      <w:r w:rsidR="00F61355">
        <w:rPr>
          <w:rFonts w:ascii="Times New Roman" w:hAnsi="Times New Roman" w:cs="Times New Roman"/>
          <w:sz w:val="24"/>
          <w:szCs w:val="24"/>
          <w:lang w:val="en-GB"/>
        </w:rPr>
        <w:t>will always</w:t>
      </w:r>
      <w:r w:rsidR="00EC44AB">
        <w:rPr>
          <w:rFonts w:ascii="Times New Roman" w:hAnsi="Times New Roman" w:cs="Times New Roman"/>
          <w:sz w:val="24"/>
          <w:szCs w:val="24"/>
          <w:lang w:val="en-GB"/>
        </w:rPr>
        <w:t xml:space="preserve"> be</w:t>
      </w:r>
      <w:r w:rsidR="005056F9">
        <w:rPr>
          <w:rFonts w:ascii="Times New Roman" w:hAnsi="Times New Roman" w:cs="Times New Roman"/>
          <w:sz w:val="24"/>
          <w:szCs w:val="24"/>
          <w:lang w:val="en-GB"/>
        </w:rPr>
        <w:t xml:space="preserve"> </w:t>
      </w:r>
      <w:r w:rsidR="006B7D6C">
        <w:rPr>
          <w:rFonts w:ascii="Times New Roman" w:hAnsi="Times New Roman" w:cs="Times New Roman"/>
          <w:sz w:val="24"/>
          <w:szCs w:val="24"/>
          <w:lang w:val="en-GB"/>
        </w:rPr>
        <w:t>available</w:t>
      </w:r>
      <w:r w:rsidR="00F61355">
        <w:rPr>
          <w:rFonts w:ascii="Times New Roman" w:hAnsi="Times New Roman" w:cs="Times New Roman"/>
          <w:sz w:val="24"/>
          <w:szCs w:val="24"/>
          <w:lang w:val="en-GB"/>
        </w:rPr>
        <w:t xml:space="preserve"> when conversion takes place</w:t>
      </w:r>
      <w:r w:rsidR="006B7D6C">
        <w:rPr>
          <w:rFonts w:ascii="Times New Roman" w:hAnsi="Times New Roman" w:cs="Times New Roman"/>
          <w:sz w:val="24"/>
          <w:szCs w:val="24"/>
          <w:lang w:val="en-GB"/>
        </w:rPr>
        <w:t xml:space="preserve">. </w:t>
      </w:r>
      <w:r w:rsidR="00EC44AB">
        <w:rPr>
          <w:rFonts w:ascii="Times New Roman" w:hAnsi="Times New Roman" w:cs="Times New Roman"/>
          <w:sz w:val="24"/>
          <w:szCs w:val="24"/>
          <w:lang w:val="en-GB"/>
        </w:rPr>
        <w:t xml:space="preserve"> </w:t>
      </w:r>
      <w:r w:rsidR="005056F9">
        <w:rPr>
          <w:rFonts w:ascii="Times New Roman" w:hAnsi="Times New Roman" w:cs="Times New Roman"/>
          <w:sz w:val="24"/>
          <w:szCs w:val="24"/>
          <w:lang w:val="en-GB"/>
        </w:rPr>
        <w:t>At most universities these data can</w:t>
      </w:r>
      <w:r w:rsidR="00EC44AB">
        <w:rPr>
          <w:rFonts w:ascii="Times New Roman" w:hAnsi="Times New Roman" w:cs="Times New Roman"/>
          <w:sz w:val="24"/>
          <w:szCs w:val="24"/>
          <w:lang w:val="en-GB"/>
        </w:rPr>
        <w:t xml:space="preserve"> be delivered at central level from the institution’s Student Information System. </w:t>
      </w:r>
    </w:p>
    <w:p w:rsidR="009C6E9A" w:rsidRDefault="00F61355" w:rsidP="00E3660A">
      <w:pPr>
        <w:pStyle w:val="Lijstalinea"/>
        <w:numPr>
          <w:ilvl w:val="0"/>
          <w:numId w:val="20"/>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242B5A">
        <w:rPr>
          <w:rFonts w:ascii="Times New Roman" w:hAnsi="Times New Roman" w:cs="Times New Roman"/>
          <w:sz w:val="24"/>
          <w:szCs w:val="24"/>
          <w:lang w:val="en-GB"/>
        </w:rPr>
        <w:t xml:space="preserve">Egracons </w:t>
      </w:r>
      <w:r>
        <w:rPr>
          <w:rFonts w:ascii="Times New Roman" w:hAnsi="Times New Roman" w:cs="Times New Roman"/>
          <w:sz w:val="24"/>
          <w:szCs w:val="24"/>
          <w:lang w:val="en-GB"/>
        </w:rPr>
        <w:t>Tool</w:t>
      </w:r>
      <w:r w:rsidR="005056F9">
        <w:rPr>
          <w:rFonts w:ascii="Times New Roman" w:hAnsi="Times New Roman" w:cs="Times New Roman"/>
          <w:sz w:val="24"/>
          <w:szCs w:val="24"/>
          <w:lang w:val="en-GB"/>
        </w:rPr>
        <w:t xml:space="preserve"> </w:t>
      </w:r>
      <w:r w:rsidR="004F4E3D">
        <w:rPr>
          <w:rFonts w:ascii="Times New Roman" w:hAnsi="Times New Roman" w:cs="Times New Roman"/>
          <w:sz w:val="24"/>
          <w:szCs w:val="24"/>
          <w:lang w:val="en-GB"/>
        </w:rPr>
        <w:t>combine</w:t>
      </w:r>
      <w:r>
        <w:rPr>
          <w:rFonts w:ascii="Times New Roman" w:hAnsi="Times New Roman" w:cs="Times New Roman"/>
          <w:sz w:val="24"/>
          <w:szCs w:val="24"/>
          <w:lang w:val="en-GB"/>
        </w:rPr>
        <w:t>s</w:t>
      </w:r>
      <w:r w:rsidR="004F4E3D">
        <w:rPr>
          <w:rFonts w:ascii="Times New Roman" w:hAnsi="Times New Roman" w:cs="Times New Roman"/>
          <w:sz w:val="24"/>
          <w:szCs w:val="24"/>
          <w:lang w:val="en-GB"/>
        </w:rPr>
        <w:t xml:space="preserve"> </w:t>
      </w:r>
      <w:r w:rsidR="00EC44AB">
        <w:rPr>
          <w:rFonts w:ascii="Times New Roman" w:hAnsi="Times New Roman" w:cs="Times New Roman"/>
          <w:sz w:val="24"/>
          <w:szCs w:val="24"/>
          <w:lang w:val="en-GB"/>
        </w:rPr>
        <w:t xml:space="preserve">the </w:t>
      </w:r>
      <w:r w:rsidR="004F4E3D">
        <w:rPr>
          <w:rFonts w:ascii="Times New Roman" w:hAnsi="Times New Roman" w:cs="Times New Roman"/>
          <w:sz w:val="24"/>
          <w:szCs w:val="24"/>
          <w:lang w:val="en-GB"/>
        </w:rPr>
        <w:t xml:space="preserve">grading table </w:t>
      </w:r>
      <w:r w:rsidR="00EC44AB">
        <w:rPr>
          <w:rFonts w:ascii="Times New Roman" w:hAnsi="Times New Roman" w:cs="Times New Roman"/>
          <w:sz w:val="24"/>
          <w:szCs w:val="24"/>
          <w:lang w:val="en-GB"/>
        </w:rPr>
        <w:t>data of the</w:t>
      </w:r>
      <w:r w:rsidR="005056F9" w:rsidRPr="00EC44AB">
        <w:rPr>
          <w:rFonts w:ascii="Times New Roman" w:hAnsi="Times New Roman" w:cs="Times New Roman"/>
          <w:sz w:val="24"/>
          <w:szCs w:val="24"/>
          <w:lang w:val="en-GB"/>
        </w:rPr>
        <w:t xml:space="preserve"> </w:t>
      </w:r>
      <w:r w:rsidR="00242B5A" w:rsidRPr="00EC44AB">
        <w:rPr>
          <w:rFonts w:ascii="Times New Roman" w:hAnsi="Times New Roman" w:cs="Times New Roman"/>
          <w:sz w:val="24"/>
          <w:szCs w:val="24"/>
          <w:lang w:val="en-GB"/>
        </w:rPr>
        <w:t>d</w:t>
      </w:r>
      <w:r w:rsidR="0010007C" w:rsidRPr="00EC44AB">
        <w:rPr>
          <w:rFonts w:ascii="Times New Roman" w:hAnsi="Times New Roman" w:cs="Times New Roman"/>
          <w:sz w:val="24"/>
          <w:szCs w:val="24"/>
          <w:lang w:val="en-GB"/>
        </w:rPr>
        <w:t>egree programmes (of the same cycle</w:t>
      </w:r>
      <w:r w:rsidR="005056F9" w:rsidRPr="00EC44AB">
        <w:rPr>
          <w:rFonts w:ascii="Times New Roman" w:hAnsi="Times New Roman" w:cs="Times New Roman"/>
          <w:sz w:val="24"/>
          <w:szCs w:val="24"/>
          <w:lang w:val="en-GB"/>
        </w:rPr>
        <w:t xml:space="preserve">) that have </w:t>
      </w:r>
      <w:r w:rsidR="00EC44AB">
        <w:rPr>
          <w:rFonts w:ascii="Times New Roman" w:hAnsi="Times New Roman" w:cs="Times New Roman"/>
          <w:sz w:val="24"/>
          <w:szCs w:val="24"/>
          <w:lang w:val="en-GB"/>
        </w:rPr>
        <w:t xml:space="preserve">the </w:t>
      </w:r>
      <w:r w:rsidR="005056F9" w:rsidRPr="00EC44AB">
        <w:rPr>
          <w:rFonts w:ascii="Times New Roman" w:hAnsi="Times New Roman" w:cs="Times New Roman"/>
          <w:sz w:val="24"/>
          <w:szCs w:val="24"/>
          <w:lang w:val="en-GB"/>
        </w:rPr>
        <w:t>same ISCED code</w:t>
      </w:r>
      <w:r>
        <w:rPr>
          <w:rFonts w:ascii="Times New Roman" w:hAnsi="Times New Roman" w:cs="Times New Roman"/>
          <w:sz w:val="24"/>
          <w:szCs w:val="24"/>
          <w:lang w:val="en-GB"/>
        </w:rPr>
        <w:t xml:space="preserve"> into an overall grading table</w:t>
      </w:r>
      <w:r w:rsidR="005056F9" w:rsidRPr="00EC44AB">
        <w:rPr>
          <w:rFonts w:ascii="Times New Roman" w:hAnsi="Times New Roman" w:cs="Times New Roman"/>
          <w:sz w:val="24"/>
          <w:szCs w:val="24"/>
          <w:lang w:val="en-GB"/>
        </w:rPr>
        <w:t>. T</w:t>
      </w:r>
      <w:r w:rsidR="004F4E3D">
        <w:rPr>
          <w:rFonts w:ascii="Times New Roman" w:hAnsi="Times New Roman" w:cs="Times New Roman"/>
          <w:sz w:val="24"/>
          <w:szCs w:val="24"/>
          <w:lang w:val="en-GB"/>
        </w:rPr>
        <w:t>ogether t</w:t>
      </w:r>
      <w:r w:rsidR="005056F9" w:rsidRPr="00EC44AB">
        <w:rPr>
          <w:rFonts w:ascii="Times New Roman" w:hAnsi="Times New Roman" w:cs="Times New Roman"/>
          <w:sz w:val="24"/>
          <w:szCs w:val="24"/>
          <w:lang w:val="en-GB"/>
        </w:rPr>
        <w:t>hey form a single reference group</w:t>
      </w:r>
      <w:r w:rsidR="00EC44AB">
        <w:rPr>
          <w:rFonts w:ascii="Times New Roman" w:hAnsi="Times New Roman" w:cs="Times New Roman"/>
          <w:sz w:val="24"/>
          <w:szCs w:val="24"/>
          <w:lang w:val="en-GB"/>
        </w:rPr>
        <w:t xml:space="preserve"> and therefore the basis of the </w:t>
      </w:r>
      <w:r>
        <w:rPr>
          <w:rFonts w:ascii="Times New Roman" w:hAnsi="Times New Roman" w:cs="Times New Roman"/>
          <w:sz w:val="24"/>
          <w:szCs w:val="24"/>
          <w:lang w:val="en-GB"/>
        </w:rPr>
        <w:t xml:space="preserve">overall </w:t>
      </w:r>
      <w:r w:rsidR="00EC44AB">
        <w:rPr>
          <w:rFonts w:ascii="Times New Roman" w:hAnsi="Times New Roman" w:cs="Times New Roman"/>
          <w:sz w:val="24"/>
          <w:szCs w:val="24"/>
          <w:lang w:val="en-GB"/>
        </w:rPr>
        <w:t>grading table to be used for comparison</w:t>
      </w:r>
      <w:r w:rsidR="005056F9" w:rsidRPr="00EC44AB">
        <w:rPr>
          <w:rFonts w:ascii="Times New Roman" w:hAnsi="Times New Roman" w:cs="Times New Roman"/>
          <w:sz w:val="24"/>
          <w:szCs w:val="24"/>
          <w:lang w:val="en-GB"/>
        </w:rPr>
        <w:t>. In</w:t>
      </w:r>
      <w:r w:rsidR="0010007C" w:rsidRPr="00EC44AB">
        <w:rPr>
          <w:rFonts w:ascii="Times New Roman" w:hAnsi="Times New Roman" w:cs="Times New Roman"/>
          <w:sz w:val="24"/>
          <w:szCs w:val="24"/>
          <w:lang w:val="en-GB"/>
        </w:rPr>
        <w:t xml:space="preserve"> order to</w:t>
      </w:r>
      <w:r w:rsidR="00E3660A">
        <w:rPr>
          <w:rFonts w:ascii="Times New Roman" w:hAnsi="Times New Roman" w:cs="Times New Roman"/>
          <w:sz w:val="24"/>
          <w:szCs w:val="24"/>
          <w:lang w:val="en-GB"/>
        </w:rPr>
        <w:t xml:space="preserve"> make the conversions more consistent</w:t>
      </w:r>
      <w:r w:rsidR="005056F9" w:rsidRPr="00EC44AB">
        <w:rPr>
          <w:rFonts w:ascii="Times New Roman" w:hAnsi="Times New Roman" w:cs="Times New Roman"/>
          <w:sz w:val="24"/>
          <w:szCs w:val="24"/>
          <w:lang w:val="en-GB"/>
        </w:rPr>
        <w:t>, the allocation of ISCED codes</w:t>
      </w:r>
      <w:r w:rsidR="0010007C" w:rsidRPr="00EC44AB">
        <w:rPr>
          <w:rFonts w:ascii="Times New Roman" w:hAnsi="Times New Roman" w:cs="Times New Roman"/>
          <w:sz w:val="24"/>
          <w:szCs w:val="24"/>
          <w:lang w:val="en-GB"/>
        </w:rPr>
        <w:t xml:space="preserve"> should be </w:t>
      </w:r>
      <w:r w:rsidR="00E3660A">
        <w:rPr>
          <w:rFonts w:ascii="Times New Roman" w:hAnsi="Times New Roman" w:cs="Times New Roman"/>
          <w:sz w:val="24"/>
          <w:szCs w:val="24"/>
          <w:lang w:val="en-GB"/>
        </w:rPr>
        <w:t xml:space="preserve">as </w:t>
      </w:r>
      <w:r w:rsidR="0010007C" w:rsidRPr="00EC44AB">
        <w:rPr>
          <w:rFonts w:ascii="Times New Roman" w:hAnsi="Times New Roman" w:cs="Times New Roman"/>
          <w:sz w:val="24"/>
          <w:szCs w:val="24"/>
          <w:lang w:val="en-GB"/>
        </w:rPr>
        <w:t xml:space="preserve">homogeneous </w:t>
      </w:r>
      <w:r w:rsidR="00E3660A">
        <w:rPr>
          <w:rFonts w:ascii="Times New Roman" w:hAnsi="Times New Roman" w:cs="Times New Roman"/>
          <w:sz w:val="24"/>
          <w:szCs w:val="24"/>
          <w:lang w:val="en-GB"/>
        </w:rPr>
        <w:t xml:space="preserve">as possible </w:t>
      </w:r>
      <w:r w:rsidR="0010007C" w:rsidRPr="00EC44AB">
        <w:rPr>
          <w:rFonts w:ascii="Times New Roman" w:hAnsi="Times New Roman" w:cs="Times New Roman"/>
          <w:sz w:val="24"/>
          <w:szCs w:val="24"/>
          <w:lang w:val="en-GB"/>
        </w:rPr>
        <w:t xml:space="preserve">across </w:t>
      </w:r>
      <w:r w:rsidR="001D29F1">
        <w:rPr>
          <w:rFonts w:ascii="Times New Roman" w:hAnsi="Times New Roman" w:cs="Times New Roman"/>
          <w:sz w:val="24"/>
          <w:szCs w:val="24"/>
          <w:lang w:val="en-GB"/>
        </w:rPr>
        <w:t xml:space="preserve">within a </w:t>
      </w:r>
      <w:r w:rsidR="0010007C" w:rsidRPr="00EC44AB">
        <w:rPr>
          <w:rFonts w:ascii="Times New Roman" w:hAnsi="Times New Roman" w:cs="Times New Roman"/>
          <w:sz w:val="24"/>
          <w:szCs w:val="24"/>
          <w:lang w:val="en-GB"/>
        </w:rPr>
        <w:t>country (or educational system of a region).</w:t>
      </w:r>
      <w:r w:rsidR="00E3660A">
        <w:rPr>
          <w:rFonts w:ascii="Times New Roman" w:hAnsi="Times New Roman" w:cs="Times New Roman"/>
          <w:sz w:val="24"/>
          <w:szCs w:val="24"/>
          <w:lang w:val="en-GB"/>
        </w:rPr>
        <w:t xml:space="preserve"> The ISCED codes already have to be used while reporting exchanges in the EC’s Mobility Tool</w:t>
      </w:r>
      <w:r w:rsidR="00384AD3">
        <w:rPr>
          <w:rFonts w:ascii="Times New Roman" w:hAnsi="Times New Roman" w:cs="Times New Roman"/>
          <w:sz w:val="24"/>
          <w:szCs w:val="24"/>
          <w:lang w:val="en-GB"/>
        </w:rPr>
        <w:t xml:space="preserve"> as from 2013-2014</w:t>
      </w:r>
      <w:r w:rsidR="00E3660A">
        <w:rPr>
          <w:rFonts w:ascii="Times New Roman" w:hAnsi="Times New Roman" w:cs="Times New Roman"/>
          <w:sz w:val="24"/>
          <w:szCs w:val="24"/>
          <w:lang w:val="en-GB"/>
        </w:rPr>
        <w:t xml:space="preserve">, but a </w:t>
      </w:r>
      <w:r w:rsidR="001D29F1">
        <w:rPr>
          <w:rFonts w:ascii="Times New Roman" w:hAnsi="Times New Roman" w:cs="Times New Roman"/>
          <w:sz w:val="24"/>
          <w:szCs w:val="24"/>
          <w:lang w:val="en-GB"/>
        </w:rPr>
        <w:t xml:space="preserve">wider </w:t>
      </w:r>
      <w:r w:rsidR="00E3660A">
        <w:rPr>
          <w:rFonts w:ascii="Times New Roman" w:hAnsi="Times New Roman" w:cs="Times New Roman"/>
          <w:sz w:val="24"/>
          <w:szCs w:val="24"/>
          <w:lang w:val="en-GB"/>
        </w:rPr>
        <w:t xml:space="preserve">consensus will have to develop </w:t>
      </w:r>
      <w:r w:rsidR="001D29F1">
        <w:rPr>
          <w:rFonts w:ascii="Times New Roman" w:hAnsi="Times New Roman" w:cs="Times New Roman"/>
          <w:sz w:val="24"/>
          <w:szCs w:val="24"/>
          <w:lang w:val="en-GB"/>
        </w:rPr>
        <w:t xml:space="preserve">in actual practice </w:t>
      </w:r>
      <w:r w:rsidR="00E3660A">
        <w:rPr>
          <w:rFonts w:ascii="Times New Roman" w:hAnsi="Times New Roman" w:cs="Times New Roman"/>
          <w:sz w:val="24"/>
          <w:szCs w:val="24"/>
          <w:lang w:val="en-GB"/>
        </w:rPr>
        <w:t>around the all</w:t>
      </w:r>
      <w:r w:rsidR="00D03150">
        <w:rPr>
          <w:rFonts w:ascii="Times New Roman" w:hAnsi="Times New Roman" w:cs="Times New Roman"/>
          <w:sz w:val="24"/>
          <w:szCs w:val="24"/>
          <w:lang w:val="en-GB"/>
        </w:rPr>
        <w:t>ocation of the codes to the degrees. Egracons will take an initiative in this.</w:t>
      </w:r>
      <w:r w:rsidR="00384AD3">
        <w:rPr>
          <w:rFonts w:ascii="Times New Roman" w:hAnsi="Times New Roman" w:cs="Times New Roman"/>
          <w:sz w:val="24"/>
          <w:szCs w:val="24"/>
          <w:lang w:val="en-GB"/>
        </w:rPr>
        <w:t xml:space="preserve"> It is also assumed that every course unit </w:t>
      </w:r>
      <w:r w:rsidR="001D29F1">
        <w:rPr>
          <w:rFonts w:ascii="Times New Roman" w:hAnsi="Times New Roman" w:cs="Times New Roman"/>
          <w:sz w:val="24"/>
          <w:szCs w:val="24"/>
          <w:lang w:val="en-GB"/>
        </w:rPr>
        <w:t xml:space="preserve">in a HEI </w:t>
      </w:r>
      <w:r w:rsidR="00384AD3">
        <w:rPr>
          <w:rFonts w:ascii="Times New Roman" w:hAnsi="Times New Roman" w:cs="Times New Roman"/>
          <w:sz w:val="24"/>
          <w:szCs w:val="24"/>
          <w:lang w:val="en-GB"/>
        </w:rPr>
        <w:t xml:space="preserve">inherits the ISCED code from the degree that it officially belongs to. </w:t>
      </w:r>
    </w:p>
    <w:p w:rsidR="00E3660A" w:rsidRPr="002469D3" w:rsidRDefault="00E3660A" w:rsidP="00E3660A">
      <w:pPr>
        <w:pStyle w:val="Lijstalinea"/>
        <w:ind w:left="644"/>
        <w:jc w:val="both"/>
        <w:rPr>
          <w:rFonts w:ascii="Times New Roman" w:hAnsi="Times New Roman" w:cs="Times New Roman"/>
          <w:sz w:val="24"/>
          <w:szCs w:val="24"/>
          <w:lang w:val="en-GB"/>
        </w:rPr>
      </w:pPr>
    </w:p>
    <w:p w:rsidR="005909B1" w:rsidRPr="002469D3" w:rsidRDefault="003F21ED" w:rsidP="00990133">
      <w:pPr>
        <w:pStyle w:val="Lijstalinea"/>
        <w:numPr>
          <w:ilvl w:val="0"/>
          <w:numId w:val="15"/>
        </w:numPr>
        <w:jc w:val="both"/>
        <w:rPr>
          <w:rFonts w:ascii="Times New Roman" w:hAnsi="Times New Roman" w:cs="Times New Roman"/>
          <w:sz w:val="24"/>
          <w:szCs w:val="24"/>
          <w:lang w:val="en-GB"/>
        </w:rPr>
      </w:pPr>
      <w:r w:rsidRPr="002469D3">
        <w:rPr>
          <w:rFonts w:ascii="Times New Roman" w:hAnsi="Times New Roman" w:cs="Times New Roman"/>
          <w:b/>
          <w:sz w:val="24"/>
          <w:szCs w:val="24"/>
          <w:lang w:val="en-GB"/>
        </w:rPr>
        <w:t>All the passing gra</w:t>
      </w:r>
      <w:r w:rsidR="00256C6C">
        <w:rPr>
          <w:rFonts w:ascii="Times New Roman" w:hAnsi="Times New Roman" w:cs="Times New Roman"/>
          <w:b/>
          <w:sz w:val="24"/>
          <w:szCs w:val="24"/>
          <w:lang w:val="en-GB"/>
        </w:rPr>
        <w:t xml:space="preserve">des/marks for all course units </w:t>
      </w:r>
      <w:r w:rsidR="00C953C5" w:rsidRPr="002469D3">
        <w:rPr>
          <w:rFonts w:ascii="Times New Roman" w:hAnsi="Times New Roman" w:cs="Times New Roman"/>
          <w:b/>
          <w:sz w:val="24"/>
          <w:szCs w:val="24"/>
          <w:lang w:val="en-GB"/>
        </w:rPr>
        <w:t>(</w:t>
      </w:r>
      <w:r w:rsidRPr="002469D3">
        <w:rPr>
          <w:rFonts w:ascii="Times New Roman" w:hAnsi="Times New Roman" w:cs="Times New Roman"/>
          <w:b/>
          <w:sz w:val="24"/>
          <w:szCs w:val="24"/>
          <w:lang w:val="en-GB"/>
        </w:rPr>
        <w:t>recognized</w:t>
      </w:r>
      <w:r w:rsidR="00C953C5" w:rsidRPr="002469D3">
        <w:rPr>
          <w:rFonts w:ascii="Times New Roman" w:hAnsi="Times New Roman" w:cs="Times New Roman"/>
          <w:b/>
          <w:sz w:val="24"/>
          <w:szCs w:val="24"/>
          <w:lang w:val="en-GB"/>
        </w:rPr>
        <w:t>)</w:t>
      </w:r>
      <w:r w:rsidRPr="002469D3">
        <w:rPr>
          <w:rFonts w:ascii="Times New Roman" w:hAnsi="Times New Roman" w:cs="Times New Roman"/>
          <w:b/>
          <w:sz w:val="24"/>
          <w:szCs w:val="24"/>
          <w:lang w:val="en-GB"/>
        </w:rPr>
        <w:t xml:space="preserve"> in the degree(s) belonging to the identified reference group are collected</w:t>
      </w:r>
      <w:r w:rsidR="001824E7">
        <w:rPr>
          <w:rFonts w:ascii="Times New Roman" w:hAnsi="Times New Roman" w:cs="Times New Roman"/>
          <w:b/>
          <w:sz w:val="24"/>
          <w:szCs w:val="24"/>
          <w:lang w:val="en-GB"/>
        </w:rPr>
        <w:t xml:space="preserve"> for every student</w:t>
      </w:r>
      <w:r w:rsidRPr="002469D3">
        <w:rPr>
          <w:rFonts w:ascii="Times New Roman" w:hAnsi="Times New Roman" w:cs="Times New Roman"/>
          <w:b/>
          <w:sz w:val="24"/>
          <w:szCs w:val="24"/>
          <w:lang w:val="en-GB"/>
        </w:rPr>
        <w:t>.</w:t>
      </w:r>
      <w:r w:rsidRPr="002469D3">
        <w:rPr>
          <w:rFonts w:ascii="Times New Roman" w:hAnsi="Times New Roman" w:cs="Times New Roman"/>
          <w:sz w:val="24"/>
          <w:szCs w:val="24"/>
          <w:lang w:val="en-GB"/>
        </w:rPr>
        <w:t xml:space="preserve"> </w:t>
      </w:r>
    </w:p>
    <w:p w:rsidR="005909B1" w:rsidRPr="002469D3" w:rsidRDefault="00C953C5" w:rsidP="00990133">
      <w:pPr>
        <w:pStyle w:val="Lijstalinea"/>
        <w:numPr>
          <w:ilvl w:val="0"/>
          <w:numId w:val="23"/>
        </w:num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Fail grades/marks </w:t>
      </w:r>
      <w:r w:rsidR="001824E7">
        <w:rPr>
          <w:rFonts w:ascii="Times New Roman" w:hAnsi="Times New Roman" w:cs="Times New Roman"/>
          <w:sz w:val="24"/>
          <w:szCs w:val="24"/>
          <w:lang w:val="en-GB"/>
        </w:rPr>
        <w:t>are therefore not included, and should not be indicated in the grading tables</w:t>
      </w:r>
    </w:p>
    <w:p w:rsidR="003F21ED" w:rsidRDefault="003F21ED" w:rsidP="00990133">
      <w:pPr>
        <w:pStyle w:val="Lijstalinea"/>
        <w:numPr>
          <w:ilvl w:val="0"/>
          <w:numId w:val="22"/>
        </w:num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Only the final official grades</w:t>
      </w:r>
      <w:r w:rsidR="00C953C5" w:rsidRPr="002469D3">
        <w:rPr>
          <w:rFonts w:ascii="Times New Roman" w:hAnsi="Times New Roman" w:cs="Times New Roman"/>
          <w:sz w:val="24"/>
          <w:szCs w:val="24"/>
          <w:lang w:val="en-GB"/>
        </w:rPr>
        <w:t>/marks</w:t>
      </w:r>
      <w:r w:rsidRPr="002469D3">
        <w:rPr>
          <w:rFonts w:ascii="Times New Roman" w:hAnsi="Times New Roman" w:cs="Times New Roman"/>
          <w:sz w:val="24"/>
          <w:szCs w:val="24"/>
          <w:lang w:val="en-GB"/>
        </w:rPr>
        <w:t xml:space="preserve"> at the end of the academic year</w:t>
      </w:r>
      <w:r w:rsidR="00C953C5" w:rsidRPr="002469D3">
        <w:rPr>
          <w:rFonts w:ascii="Times New Roman" w:hAnsi="Times New Roman" w:cs="Times New Roman"/>
          <w:sz w:val="24"/>
          <w:szCs w:val="24"/>
          <w:lang w:val="en-GB"/>
        </w:rPr>
        <w:t xml:space="preserve">s under </w:t>
      </w:r>
      <w:r w:rsidR="00D83046" w:rsidRPr="002469D3">
        <w:rPr>
          <w:rFonts w:ascii="Times New Roman" w:hAnsi="Times New Roman" w:cs="Times New Roman"/>
          <w:sz w:val="24"/>
          <w:szCs w:val="24"/>
          <w:lang w:val="en-GB"/>
        </w:rPr>
        <w:t>consideration (</w:t>
      </w:r>
      <w:r w:rsidRPr="002469D3">
        <w:rPr>
          <w:rFonts w:ascii="Times New Roman" w:hAnsi="Times New Roman" w:cs="Times New Roman"/>
          <w:sz w:val="24"/>
          <w:szCs w:val="24"/>
          <w:lang w:val="en-GB"/>
        </w:rPr>
        <w:t>i.e. after possible resits</w:t>
      </w:r>
      <w:r w:rsidR="00F61355">
        <w:rPr>
          <w:rFonts w:ascii="Times New Roman" w:hAnsi="Times New Roman" w:cs="Times New Roman"/>
          <w:sz w:val="24"/>
          <w:szCs w:val="24"/>
          <w:lang w:val="en-GB"/>
        </w:rPr>
        <w:t>, therefore 1 grade per exam</w:t>
      </w:r>
      <w:r w:rsidRPr="002469D3">
        <w:rPr>
          <w:rFonts w:ascii="Times New Roman" w:hAnsi="Times New Roman" w:cs="Times New Roman"/>
          <w:sz w:val="24"/>
          <w:szCs w:val="24"/>
          <w:lang w:val="en-GB"/>
        </w:rPr>
        <w:t xml:space="preserve">) </w:t>
      </w:r>
      <w:r w:rsidR="00C953C5" w:rsidRPr="002469D3">
        <w:rPr>
          <w:rFonts w:ascii="Times New Roman" w:hAnsi="Times New Roman" w:cs="Times New Roman"/>
          <w:sz w:val="24"/>
          <w:szCs w:val="24"/>
          <w:lang w:val="en-GB"/>
        </w:rPr>
        <w:t xml:space="preserve">are taken into account and the total number of </w:t>
      </w:r>
      <w:r w:rsidR="004F4E3D">
        <w:rPr>
          <w:rFonts w:ascii="Times New Roman" w:hAnsi="Times New Roman" w:cs="Times New Roman"/>
          <w:sz w:val="24"/>
          <w:szCs w:val="24"/>
          <w:lang w:val="en-GB"/>
        </w:rPr>
        <w:t xml:space="preserve">successful </w:t>
      </w:r>
      <w:r w:rsidR="00C953C5" w:rsidRPr="002469D3">
        <w:rPr>
          <w:rFonts w:ascii="Times New Roman" w:hAnsi="Times New Roman" w:cs="Times New Roman"/>
          <w:sz w:val="24"/>
          <w:szCs w:val="24"/>
          <w:lang w:val="en-GB"/>
        </w:rPr>
        <w:t xml:space="preserve">results per grade </w:t>
      </w:r>
      <w:r w:rsidR="00256C6C">
        <w:rPr>
          <w:rFonts w:ascii="Times New Roman" w:hAnsi="Times New Roman" w:cs="Times New Roman"/>
          <w:sz w:val="24"/>
          <w:szCs w:val="24"/>
          <w:lang w:val="en-GB"/>
        </w:rPr>
        <w:t>should be</w:t>
      </w:r>
      <w:r w:rsidR="00EC44AB">
        <w:rPr>
          <w:rFonts w:ascii="Times New Roman" w:hAnsi="Times New Roman" w:cs="Times New Roman"/>
          <w:sz w:val="24"/>
          <w:szCs w:val="24"/>
          <w:lang w:val="en-GB"/>
        </w:rPr>
        <w:t xml:space="preserve"> </w:t>
      </w:r>
      <w:r w:rsidR="00C953C5" w:rsidRPr="002469D3">
        <w:rPr>
          <w:rFonts w:ascii="Times New Roman" w:hAnsi="Times New Roman" w:cs="Times New Roman"/>
          <w:sz w:val="24"/>
          <w:szCs w:val="24"/>
          <w:lang w:val="en-GB"/>
        </w:rPr>
        <w:t>calculated</w:t>
      </w:r>
      <w:r w:rsidR="00F61355">
        <w:rPr>
          <w:rFonts w:ascii="Times New Roman" w:hAnsi="Times New Roman" w:cs="Times New Roman"/>
          <w:sz w:val="24"/>
          <w:szCs w:val="24"/>
          <w:lang w:val="en-GB"/>
        </w:rPr>
        <w:t xml:space="preserve"> within the degree.</w:t>
      </w:r>
      <w:r w:rsidR="00C953C5" w:rsidRPr="002469D3">
        <w:rPr>
          <w:rFonts w:ascii="Times New Roman" w:hAnsi="Times New Roman" w:cs="Times New Roman"/>
          <w:sz w:val="24"/>
          <w:szCs w:val="24"/>
          <w:lang w:val="en-GB"/>
        </w:rPr>
        <w:t xml:space="preserve">. </w:t>
      </w:r>
    </w:p>
    <w:p w:rsidR="00242B5A" w:rsidRDefault="001824E7" w:rsidP="00990133">
      <w:pPr>
        <w:pStyle w:val="Lijstalinea"/>
        <w:numPr>
          <w:ilvl w:val="0"/>
          <w:numId w:val="22"/>
        </w:numPr>
        <w:jc w:val="both"/>
        <w:rPr>
          <w:rFonts w:ascii="Times New Roman" w:hAnsi="Times New Roman" w:cs="Times New Roman"/>
          <w:sz w:val="24"/>
          <w:szCs w:val="24"/>
          <w:lang w:val="en-GB"/>
        </w:rPr>
      </w:pPr>
      <w:r>
        <w:rPr>
          <w:rFonts w:ascii="Times New Roman" w:hAnsi="Times New Roman" w:cs="Times New Roman"/>
          <w:sz w:val="24"/>
          <w:szCs w:val="24"/>
          <w:lang w:val="en-GB"/>
        </w:rPr>
        <w:t>Normally, the fact that we use (at least) 2 academic years and students from different years should guarantee that the statistically relev</w:t>
      </w:r>
      <w:r w:rsidR="00256C6C">
        <w:rPr>
          <w:rFonts w:ascii="Times New Roman" w:hAnsi="Times New Roman" w:cs="Times New Roman"/>
          <w:sz w:val="24"/>
          <w:szCs w:val="24"/>
          <w:lang w:val="en-GB"/>
        </w:rPr>
        <w:t xml:space="preserve">ant minimum </w:t>
      </w:r>
      <w:r w:rsidR="008840B9">
        <w:rPr>
          <w:rFonts w:ascii="Times New Roman" w:hAnsi="Times New Roman" w:cs="Times New Roman"/>
          <w:sz w:val="24"/>
          <w:szCs w:val="24"/>
          <w:lang w:val="en-GB"/>
        </w:rPr>
        <w:t>number of grades is</w:t>
      </w:r>
      <w:r>
        <w:rPr>
          <w:rFonts w:ascii="Times New Roman" w:hAnsi="Times New Roman" w:cs="Times New Roman"/>
          <w:sz w:val="24"/>
          <w:szCs w:val="24"/>
          <w:lang w:val="en-GB"/>
        </w:rPr>
        <w:t xml:space="preserve"> reached</w:t>
      </w:r>
      <w:r w:rsidR="00D03150">
        <w:rPr>
          <w:rFonts w:ascii="Times New Roman" w:hAnsi="Times New Roman" w:cs="Times New Roman"/>
          <w:sz w:val="24"/>
          <w:szCs w:val="24"/>
          <w:lang w:val="en-GB"/>
        </w:rPr>
        <w:t>. Institutions with low numbers of students per degree are advised to go back 3 years or even more.</w:t>
      </w:r>
    </w:p>
    <w:p w:rsidR="001824E7" w:rsidRDefault="001824E7" w:rsidP="00990133">
      <w:pPr>
        <w:pStyle w:val="Lijstalinea"/>
        <w:numPr>
          <w:ilvl w:val="0"/>
          <w:numId w:val="22"/>
        </w:numPr>
        <w:jc w:val="both"/>
        <w:rPr>
          <w:rFonts w:ascii="Times New Roman" w:hAnsi="Times New Roman" w:cs="Times New Roman"/>
          <w:sz w:val="24"/>
          <w:szCs w:val="24"/>
          <w:lang w:val="en-GB"/>
        </w:rPr>
      </w:pPr>
      <w:r>
        <w:rPr>
          <w:rFonts w:ascii="Times New Roman" w:hAnsi="Times New Roman" w:cs="Times New Roman"/>
          <w:sz w:val="24"/>
          <w:szCs w:val="24"/>
          <w:lang w:val="en-GB"/>
        </w:rPr>
        <w:t>The results of visiting ex</w:t>
      </w:r>
      <w:r w:rsidR="00D03150">
        <w:rPr>
          <w:rFonts w:ascii="Times New Roman" w:hAnsi="Times New Roman" w:cs="Times New Roman"/>
          <w:sz w:val="24"/>
          <w:szCs w:val="24"/>
          <w:lang w:val="en-GB"/>
        </w:rPr>
        <w:t>change students should NOT be in</w:t>
      </w:r>
      <w:r>
        <w:rPr>
          <w:rFonts w:ascii="Times New Roman" w:hAnsi="Times New Roman" w:cs="Times New Roman"/>
          <w:sz w:val="24"/>
          <w:szCs w:val="24"/>
          <w:lang w:val="en-GB"/>
        </w:rPr>
        <w:t>cluded in the data, only those of officially registered students</w:t>
      </w:r>
      <w:r w:rsidR="00256C6C">
        <w:rPr>
          <w:rFonts w:ascii="Times New Roman" w:hAnsi="Times New Roman" w:cs="Times New Roman"/>
          <w:sz w:val="24"/>
          <w:szCs w:val="24"/>
          <w:lang w:val="en-GB"/>
        </w:rPr>
        <w:t xml:space="preserve"> for a degree</w:t>
      </w:r>
      <w:r>
        <w:rPr>
          <w:rFonts w:ascii="Times New Roman" w:hAnsi="Times New Roman" w:cs="Times New Roman"/>
          <w:sz w:val="24"/>
          <w:szCs w:val="24"/>
          <w:lang w:val="en-GB"/>
        </w:rPr>
        <w:t xml:space="preserve"> (national or international)</w:t>
      </w:r>
    </w:p>
    <w:p w:rsidR="0003261E" w:rsidRDefault="0003261E" w:rsidP="00990133">
      <w:pPr>
        <w:pStyle w:val="Lijstalinea"/>
        <w:numPr>
          <w:ilvl w:val="0"/>
          <w:numId w:val="22"/>
        </w:numPr>
        <w:jc w:val="both"/>
        <w:rPr>
          <w:rFonts w:ascii="Times New Roman" w:hAnsi="Times New Roman" w:cs="Times New Roman"/>
          <w:sz w:val="24"/>
          <w:szCs w:val="24"/>
          <w:lang w:val="en-GB"/>
        </w:rPr>
      </w:pPr>
      <w:r>
        <w:rPr>
          <w:rFonts w:ascii="Times New Roman" w:hAnsi="Times New Roman" w:cs="Times New Roman"/>
          <w:sz w:val="24"/>
          <w:szCs w:val="24"/>
          <w:lang w:val="en-GB"/>
        </w:rPr>
        <w:t>No weighting should be applied in terms of the number of credits per course unit</w:t>
      </w:r>
    </w:p>
    <w:p w:rsidR="0003261E" w:rsidRDefault="0003261E" w:rsidP="00990133">
      <w:pPr>
        <w:pStyle w:val="Lijstalinea"/>
        <w:numPr>
          <w:ilvl w:val="0"/>
          <w:numId w:val="22"/>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only grade taken into consideration is the grade that corresponds to the course unit to which credits are assigned in the </w:t>
      </w:r>
      <w:r w:rsidR="00256C6C">
        <w:rPr>
          <w:rFonts w:ascii="Times New Roman" w:hAnsi="Times New Roman" w:cs="Times New Roman"/>
          <w:sz w:val="24"/>
          <w:szCs w:val="24"/>
          <w:lang w:val="en-GB"/>
        </w:rPr>
        <w:t xml:space="preserve">final </w:t>
      </w:r>
      <w:r>
        <w:rPr>
          <w:rFonts w:ascii="Times New Roman" w:hAnsi="Times New Roman" w:cs="Times New Roman"/>
          <w:sz w:val="24"/>
          <w:szCs w:val="24"/>
          <w:lang w:val="en-GB"/>
        </w:rPr>
        <w:t>Transcript of Records, even if it concerns a cluster of smaller</w:t>
      </w:r>
      <w:r w:rsidR="00256C6C">
        <w:rPr>
          <w:rFonts w:ascii="Times New Roman" w:hAnsi="Times New Roman" w:cs="Times New Roman"/>
          <w:sz w:val="24"/>
          <w:szCs w:val="24"/>
          <w:lang w:val="en-GB"/>
        </w:rPr>
        <w:t xml:space="preserve"> sub-units that are each given </w:t>
      </w:r>
      <w:r>
        <w:rPr>
          <w:rFonts w:ascii="Times New Roman" w:hAnsi="Times New Roman" w:cs="Times New Roman"/>
          <w:sz w:val="24"/>
          <w:szCs w:val="24"/>
          <w:lang w:val="en-GB"/>
        </w:rPr>
        <w:t xml:space="preserve">separate grades. </w:t>
      </w:r>
      <w:r w:rsidR="00256C6C">
        <w:rPr>
          <w:rFonts w:ascii="Times New Roman" w:hAnsi="Times New Roman" w:cs="Times New Roman"/>
          <w:sz w:val="24"/>
          <w:szCs w:val="24"/>
          <w:lang w:val="en-GB"/>
        </w:rPr>
        <w:t>Such smaller sub-units are aggregated to a single grade.</w:t>
      </w:r>
      <w:r>
        <w:rPr>
          <w:rFonts w:ascii="Times New Roman" w:hAnsi="Times New Roman" w:cs="Times New Roman"/>
          <w:sz w:val="24"/>
          <w:szCs w:val="24"/>
          <w:lang w:val="en-GB"/>
        </w:rPr>
        <w:t xml:space="preserve"> </w:t>
      </w:r>
    </w:p>
    <w:p w:rsidR="00BA58CA" w:rsidRPr="00BA58CA" w:rsidRDefault="00BA58CA" w:rsidP="00990133">
      <w:pPr>
        <w:pStyle w:val="Lijstalinea"/>
        <w:numPr>
          <w:ilvl w:val="0"/>
          <w:numId w:val="22"/>
        </w:numPr>
        <w:jc w:val="both"/>
        <w:rPr>
          <w:rFonts w:ascii="Times New Roman" w:hAnsi="Times New Roman" w:cs="Times New Roman"/>
          <w:sz w:val="24"/>
          <w:szCs w:val="24"/>
          <w:lang w:val="en-GB"/>
        </w:rPr>
      </w:pPr>
      <w:r w:rsidRPr="00A263BC">
        <w:rPr>
          <w:rFonts w:ascii="Times New Roman" w:hAnsi="Times New Roman" w:cs="Times New Roman"/>
          <w:sz w:val="24"/>
          <w:szCs w:val="24"/>
          <w:lang w:val="en-GB"/>
        </w:rPr>
        <w:lastRenderedPageBreak/>
        <w:t>The tables will be re-calculated every year and uploaded to a common European database</w:t>
      </w:r>
      <w:r>
        <w:rPr>
          <w:rFonts w:ascii="Times New Roman" w:hAnsi="Times New Roman" w:cs="Times New Roman"/>
          <w:sz w:val="24"/>
          <w:szCs w:val="24"/>
          <w:lang w:val="en-GB"/>
        </w:rPr>
        <w:t xml:space="preserve"> set up within the framework of the Egracons project. The web based conversion tool will make use of this common database to retrieve its data. Institutions are expected t</w:t>
      </w:r>
      <w:r w:rsidR="00F61355">
        <w:rPr>
          <w:rFonts w:ascii="Times New Roman" w:hAnsi="Times New Roman" w:cs="Times New Roman"/>
          <w:sz w:val="24"/>
          <w:szCs w:val="24"/>
          <w:lang w:val="en-GB"/>
        </w:rPr>
        <w:t xml:space="preserve">o do an annual update after an </w:t>
      </w:r>
      <w:r>
        <w:rPr>
          <w:rFonts w:ascii="Times New Roman" w:hAnsi="Times New Roman" w:cs="Times New Roman"/>
          <w:sz w:val="24"/>
          <w:szCs w:val="24"/>
          <w:lang w:val="en-GB"/>
        </w:rPr>
        <w:t>academic year</w:t>
      </w:r>
      <w:r w:rsidR="00F61355">
        <w:rPr>
          <w:rFonts w:ascii="Times New Roman" w:hAnsi="Times New Roman" w:cs="Times New Roman"/>
          <w:sz w:val="24"/>
          <w:szCs w:val="24"/>
          <w:lang w:val="en-GB"/>
        </w:rPr>
        <w:t xml:space="preserve"> ends</w:t>
      </w:r>
      <w:r>
        <w:rPr>
          <w:rFonts w:ascii="Times New Roman" w:hAnsi="Times New Roman" w:cs="Times New Roman"/>
          <w:sz w:val="24"/>
          <w:szCs w:val="24"/>
          <w:lang w:val="en-GB"/>
        </w:rPr>
        <w:t>, so that the data always reflect the last 2 (or 3) years.</w:t>
      </w:r>
    </w:p>
    <w:p w:rsidR="004B147B" w:rsidRPr="002469D3" w:rsidRDefault="004B147B" w:rsidP="00990133">
      <w:pPr>
        <w:pStyle w:val="Lijstalinea"/>
        <w:jc w:val="both"/>
        <w:rPr>
          <w:rFonts w:ascii="Times New Roman" w:hAnsi="Times New Roman" w:cs="Times New Roman"/>
          <w:sz w:val="24"/>
          <w:szCs w:val="24"/>
          <w:lang w:val="en-GB"/>
        </w:rPr>
      </w:pPr>
    </w:p>
    <w:p w:rsidR="00CF6E80" w:rsidRPr="005733F3" w:rsidRDefault="00890BFB" w:rsidP="005733F3">
      <w:pPr>
        <w:pStyle w:val="Lijstalinea"/>
        <w:numPr>
          <w:ilvl w:val="0"/>
          <w:numId w:val="15"/>
        </w:numPr>
        <w:jc w:val="both"/>
        <w:rPr>
          <w:rFonts w:ascii="Times New Roman" w:hAnsi="Times New Roman" w:cs="Times New Roman"/>
          <w:b/>
          <w:sz w:val="24"/>
          <w:szCs w:val="24"/>
          <w:lang w:val="en-GB"/>
        </w:rPr>
      </w:pPr>
      <w:r w:rsidRPr="002469D3">
        <w:rPr>
          <w:rFonts w:ascii="Times New Roman" w:hAnsi="Times New Roman" w:cs="Times New Roman"/>
          <w:b/>
          <w:sz w:val="24"/>
          <w:szCs w:val="24"/>
          <w:lang w:val="en-GB"/>
        </w:rPr>
        <w:t xml:space="preserve">Calculation of </w:t>
      </w:r>
      <w:r w:rsidR="00C75AD8" w:rsidRPr="002469D3">
        <w:rPr>
          <w:rFonts w:ascii="Times New Roman" w:hAnsi="Times New Roman" w:cs="Times New Roman"/>
          <w:b/>
          <w:sz w:val="24"/>
          <w:szCs w:val="24"/>
          <w:lang w:val="en-GB"/>
        </w:rPr>
        <w:t>the grade distribution in terms of perce</w:t>
      </w:r>
      <w:r w:rsidR="001D29F1">
        <w:rPr>
          <w:rFonts w:ascii="Times New Roman" w:hAnsi="Times New Roman" w:cs="Times New Roman"/>
          <w:b/>
          <w:sz w:val="24"/>
          <w:szCs w:val="24"/>
          <w:lang w:val="en-GB"/>
        </w:rPr>
        <w:t>ntages for the reference group.</w:t>
      </w:r>
      <w:r w:rsidR="005733F3">
        <w:rPr>
          <w:rFonts w:ascii="Times New Roman" w:hAnsi="Times New Roman" w:cs="Times New Roman"/>
          <w:b/>
          <w:sz w:val="24"/>
          <w:szCs w:val="24"/>
          <w:lang w:val="en-GB"/>
        </w:rPr>
        <w:br/>
      </w:r>
      <w:r w:rsidR="001D29F1" w:rsidRPr="005733F3">
        <w:rPr>
          <w:rFonts w:ascii="Times New Roman" w:hAnsi="Times New Roman" w:cs="Times New Roman"/>
          <w:sz w:val="24"/>
          <w:szCs w:val="24"/>
          <w:lang w:val="en-GB"/>
        </w:rPr>
        <w:t>When displaying frequency tabl</w:t>
      </w:r>
      <w:r w:rsidR="00CF6E80" w:rsidRPr="005733F3">
        <w:rPr>
          <w:rFonts w:ascii="Times New Roman" w:hAnsi="Times New Roman" w:cs="Times New Roman"/>
          <w:sz w:val="24"/>
          <w:szCs w:val="24"/>
          <w:lang w:val="en-GB"/>
        </w:rPr>
        <w:t>es, usually two kinds are shown: the absolute frequency for each grade and the accumulated frequency (see above).</w:t>
      </w:r>
    </w:p>
    <w:p w:rsidR="00200B61" w:rsidRDefault="00200B61" w:rsidP="00200B61">
      <w:pPr>
        <w:autoSpaceDE w:val="0"/>
        <w:autoSpaceDN w:val="0"/>
        <w:adjustRightInd w:val="0"/>
        <w:spacing w:after="0" w:line="240" w:lineRule="auto"/>
        <w:ind w:left="284" w:hanging="284"/>
        <w:jc w:val="both"/>
        <w:rPr>
          <w:rFonts w:ascii="Times New Roman" w:hAnsi="Times New Roman" w:cs="Times New Roman"/>
          <w:b/>
          <w:sz w:val="32"/>
          <w:szCs w:val="32"/>
          <w:u w:val="single"/>
          <w:lang w:val="en-GB"/>
        </w:rPr>
      </w:pPr>
    </w:p>
    <w:p w:rsidR="0081395B" w:rsidRDefault="0003261E" w:rsidP="00200B61">
      <w:pPr>
        <w:autoSpaceDE w:val="0"/>
        <w:autoSpaceDN w:val="0"/>
        <w:adjustRightInd w:val="0"/>
        <w:spacing w:after="0" w:line="240" w:lineRule="auto"/>
        <w:ind w:left="284" w:hanging="284"/>
        <w:jc w:val="both"/>
        <w:rPr>
          <w:rFonts w:ascii="Times New Roman" w:hAnsi="Times New Roman" w:cs="Times New Roman"/>
          <w:b/>
          <w:sz w:val="32"/>
          <w:szCs w:val="32"/>
          <w:u w:val="single"/>
          <w:lang w:val="en-GB"/>
        </w:rPr>
      </w:pPr>
      <w:r w:rsidRPr="00200B61">
        <w:rPr>
          <w:rFonts w:ascii="Times New Roman" w:hAnsi="Times New Roman" w:cs="Times New Roman"/>
          <w:b/>
          <w:sz w:val="32"/>
          <w:szCs w:val="32"/>
          <w:u w:val="single"/>
          <w:lang w:val="en-GB"/>
        </w:rPr>
        <w:t xml:space="preserve">How to use </w:t>
      </w:r>
      <w:r w:rsidR="002A7264" w:rsidRPr="00200B61">
        <w:rPr>
          <w:rFonts w:ascii="Times New Roman" w:hAnsi="Times New Roman" w:cs="Times New Roman"/>
          <w:b/>
          <w:sz w:val="32"/>
          <w:szCs w:val="32"/>
          <w:u w:val="single"/>
          <w:lang w:val="en-GB"/>
        </w:rPr>
        <w:t xml:space="preserve">the </w:t>
      </w:r>
      <w:r w:rsidRPr="00200B61">
        <w:rPr>
          <w:rFonts w:ascii="Times New Roman" w:hAnsi="Times New Roman" w:cs="Times New Roman"/>
          <w:b/>
          <w:sz w:val="32"/>
          <w:szCs w:val="32"/>
          <w:u w:val="single"/>
          <w:lang w:val="en-GB"/>
        </w:rPr>
        <w:t xml:space="preserve">grading tables in </w:t>
      </w:r>
      <w:r w:rsidR="00200B61" w:rsidRPr="00200B61">
        <w:rPr>
          <w:rFonts w:ascii="Times New Roman" w:hAnsi="Times New Roman" w:cs="Times New Roman"/>
          <w:b/>
          <w:sz w:val="32"/>
          <w:szCs w:val="32"/>
          <w:u w:val="single"/>
          <w:lang w:val="en-GB"/>
        </w:rPr>
        <w:t xml:space="preserve">daily </w:t>
      </w:r>
      <w:r w:rsidRPr="00200B61">
        <w:rPr>
          <w:rFonts w:ascii="Times New Roman" w:hAnsi="Times New Roman" w:cs="Times New Roman"/>
          <w:b/>
          <w:sz w:val="32"/>
          <w:szCs w:val="32"/>
          <w:u w:val="single"/>
          <w:lang w:val="en-GB"/>
        </w:rPr>
        <w:t>practice:</w:t>
      </w:r>
    </w:p>
    <w:p w:rsidR="00200B61" w:rsidRDefault="00200B61" w:rsidP="00200B61">
      <w:pPr>
        <w:autoSpaceDE w:val="0"/>
        <w:autoSpaceDN w:val="0"/>
        <w:adjustRightInd w:val="0"/>
        <w:spacing w:after="0" w:line="240" w:lineRule="auto"/>
        <w:ind w:left="284" w:hanging="284"/>
        <w:jc w:val="both"/>
        <w:rPr>
          <w:rFonts w:ascii="Times New Roman" w:hAnsi="Times New Roman" w:cs="Times New Roman"/>
          <w:b/>
          <w:sz w:val="32"/>
          <w:szCs w:val="32"/>
          <w:u w:val="single"/>
          <w:lang w:val="en-GB"/>
        </w:rPr>
      </w:pPr>
    </w:p>
    <w:p w:rsidR="005909B1" w:rsidRDefault="0081395B" w:rsidP="00990133">
      <w:pPr>
        <w:pStyle w:val="Lijstalinea"/>
        <w:numPr>
          <w:ilvl w:val="0"/>
          <w:numId w:val="15"/>
        </w:numPr>
        <w:jc w:val="both"/>
        <w:rPr>
          <w:rFonts w:ascii="Times New Roman" w:hAnsi="Times New Roman" w:cs="Times New Roman"/>
          <w:b/>
          <w:sz w:val="24"/>
          <w:szCs w:val="24"/>
          <w:lang w:val="en-GB"/>
        </w:rPr>
      </w:pPr>
      <w:r w:rsidRPr="002469D3">
        <w:rPr>
          <w:rFonts w:ascii="Times New Roman" w:hAnsi="Times New Roman" w:cs="Times New Roman"/>
          <w:b/>
          <w:sz w:val="24"/>
          <w:szCs w:val="24"/>
          <w:lang w:val="en-GB"/>
        </w:rPr>
        <w:t xml:space="preserve">Include the grading percentage table in every ToR/DS. </w:t>
      </w:r>
    </w:p>
    <w:p w:rsidR="0081395B" w:rsidRPr="002469D3" w:rsidRDefault="0081395B" w:rsidP="00990133">
      <w:pPr>
        <w:pStyle w:val="Lijstalinea"/>
        <w:numPr>
          <w:ilvl w:val="0"/>
          <w:numId w:val="25"/>
        </w:num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It is to be determined whether the whole grading table or only the accumulated percentage (within the grading table) corresponding to each student’s result </w:t>
      </w:r>
      <w:r w:rsidR="002469D3">
        <w:rPr>
          <w:rFonts w:ascii="Times New Roman" w:hAnsi="Times New Roman" w:cs="Times New Roman"/>
          <w:sz w:val="24"/>
          <w:szCs w:val="24"/>
          <w:lang w:val="en-GB"/>
        </w:rPr>
        <w:t xml:space="preserve">should </w:t>
      </w:r>
      <w:r w:rsidRPr="002469D3">
        <w:rPr>
          <w:rFonts w:ascii="Times New Roman" w:hAnsi="Times New Roman" w:cs="Times New Roman"/>
          <w:sz w:val="24"/>
          <w:szCs w:val="24"/>
          <w:lang w:val="en-GB"/>
        </w:rPr>
        <w:t>be published</w:t>
      </w:r>
      <w:r w:rsidR="0003261E">
        <w:rPr>
          <w:rFonts w:ascii="Times New Roman" w:hAnsi="Times New Roman" w:cs="Times New Roman"/>
          <w:sz w:val="24"/>
          <w:szCs w:val="24"/>
          <w:lang w:val="en-GB"/>
        </w:rPr>
        <w:t xml:space="preserve"> in the DS.</w:t>
      </w:r>
      <w:r w:rsidR="00256C6C">
        <w:rPr>
          <w:rFonts w:ascii="Times New Roman" w:hAnsi="Times New Roman" w:cs="Times New Roman"/>
          <w:sz w:val="24"/>
          <w:szCs w:val="24"/>
          <w:lang w:val="en-GB"/>
        </w:rPr>
        <w:t xml:space="preserve"> Alternat</w:t>
      </w:r>
      <w:r w:rsidR="00CF6E80">
        <w:rPr>
          <w:rFonts w:ascii="Times New Roman" w:hAnsi="Times New Roman" w:cs="Times New Roman"/>
          <w:sz w:val="24"/>
          <w:szCs w:val="24"/>
          <w:lang w:val="en-GB"/>
        </w:rPr>
        <w:t>ive visualisations are possible (see below)</w:t>
      </w:r>
    </w:p>
    <w:p w:rsidR="00694F54" w:rsidRPr="002469D3" w:rsidRDefault="00694F54" w:rsidP="00990133">
      <w:pPr>
        <w:pStyle w:val="Lijstalinea"/>
        <w:jc w:val="both"/>
        <w:rPr>
          <w:rFonts w:ascii="Times New Roman" w:hAnsi="Times New Roman" w:cs="Times New Roman"/>
          <w:sz w:val="24"/>
          <w:szCs w:val="24"/>
          <w:lang w:val="en-GB"/>
        </w:rPr>
      </w:pPr>
    </w:p>
    <w:p w:rsidR="0081395B" w:rsidRPr="002469D3" w:rsidRDefault="0081395B" w:rsidP="00990133">
      <w:pPr>
        <w:pStyle w:val="Lijstalinea"/>
        <w:numPr>
          <w:ilvl w:val="0"/>
          <w:numId w:val="15"/>
        </w:numPr>
        <w:jc w:val="both"/>
        <w:rPr>
          <w:rFonts w:ascii="Times New Roman" w:hAnsi="Times New Roman" w:cs="Times New Roman"/>
          <w:b/>
          <w:sz w:val="24"/>
          <w:szCs w:val="24"/>
          <w:lang w:val="en-GB"/>
        </w:rPr>
      </w:pPr>
      <w:r w:rsidRPr="002469D3">
        <w:rPr>
          <w:rFonts w:ascii="Times New Roman" w:hAnsi="Times New Roman" w:cs="Times New Roman"/>
          <w:b/>
          <w:sz w:val="24"/>
          <w:szCs w:val="24"/>
          <w:lang w:val="en-GB"/>
        </w:rPr>
        <w:t xml:space="preserve">Compare the accumulated percentage with the corresponding </w:t>
      </w:r>
      <w:r w:rsidR="00694F54" w:rsidRPr="002469D3">
        <w:rPr>
          <w:rFonts w:ascii="Times New Roman" w:hAnsi="Times New Roman" w:cs="Times New Roman"/>
          <w:b/>
          <w:sz w:val="24"/>
          <w:szCs w:val="24"/>
          <w:lang w:val="en-GB"/>
        </w:rPr>
        <w:t xml:space="preserve">grading </w:t>
      </w:r>
      <w:r w:rsidR="00E945D9" w:rsidRPr="002469D3">
        <w:rPr>
          <w:rFonts w:ascii="Times New Roman" w:hAnsi="Times New Roman" w:cs="Times New Roman"/>
          <w:b/>
          <w:sz w:val="24"/>
          <w:szCs w:val="24"/>
          <w:lang w:val="en-GB"/>
        </w:rPr>
        <w:t>table of</w:t>
      </w:r>
      <w:r w:rsidRPr="002469D3">
        <w:rPr>
          <w:rFonts w:ascii="Times New Roman" w:hAnsi="Times New Roman" w:cs="Times New Roman"/>
          <w:b/>
          <w:sz w:val="24"/>
          <w:szCs w:val="24"/>
          <w:lang w:val="en-GB"/>
        </w:rPr>
        <w:t xml:space="preserve"> the other institution and convert the individual grade.</w:t>
      </w:r>
    </w:p>
    <w:p w:rsidR="00CF6E80" w:rsidRDefault="00694F54" w:rsidP="00CF6E80">
      <w:pPr>
        <w:pStyle w:val="Lijstalinea"/>
        <w:numPr>
          <w:ilvl w:val="0"/>
          <w:numId w:val="25"/>
        </w:numPr>
        <w:jc w:val="both"/>
        <w:rPr>
          <w:rFonts w:ascii="Times New Roman" w:hAnsi="Times New Roman" w:cs="Times New Roman"/>
          <w:sz w:val="24"/>
          <w:szCs w:val="24"/>
          <w:lang w:val="en-GB"/>
        </w:rPr>
      </w:pPr>
      <w:r w:rsidRPr="00BA58CA">
        <w:rPr>
          <w:rFonts w:ascii="Times New Roman" w:hAnsi="Times New Roman" w:cs="Times New Roman"/>
          <w:sz w:val="24"/>
          <w:szCs w:val="24"/>
          <w:lang w:val="en-GB"/>
        </w:rPr>
        <w:t>The corresponding position of each student within the 2 reference groups</w:t>
      </w:r>
      <w:r w:rsidR="0003261E" w:rsidRPr="00BA58CA">
        <w:rPr>
          <w:rFonts w:ascii="Times New Roman" w:hAnsi="Times New Roman" w:cs="Times New Roman"/>
          <w:sz w:val="24"/>
          <w:szCs w:val="24"/>
          <w:lang w:val="en-GB"/>
        </w:rPr>
        <w:t xml:space="preserve"> (host – home</w:t>
      </w:r>
      <w:r w:rsidR="00E945D9" w:rsidRPr="00BA58CA">
        <w:rPr>
          <w:rFonts w:ascii="Times New Roman" w:hAnsi="Times New Roman" w:cs="Times New Roman"/>
          <w:sz w:val="24"/>
          <w:szCs w:val="24"/>
          <w:lang w:val="en-GB"/>
        </w:rPr>
        <w:t>) is</w:t>
      </w:r>
      <w:r w:rsidRPr="00BA58CA">
        <w:rPr>
          <w:rFonts w:ascii="Times New Roman" w:hAnsi="Times New Roman" w:cs="Times New Roman"/>
          <w:sz w:val="24"/>
          <w:szCs w:val="24"/>
          <w:lang w:val="en-GB"/>
        </w:rPr>
        <w:t xml:space="preserve"> compared</w:t>
      </w:r>
      <w:r w:rsidR="00BA58CA" w:rsidRPr="00BA58CA">
        <w:rPr>
          <w:rFonts w:ascii="Times New Roman" w:hAnsi="Times New Roman" w:cs="Times New Roman"/>
          <w:sz w:val="24"/>
          <w:szCs w:val="24"/>
          <w:lang w:val="en-GB"/>
        </w:rPr>
        <w:t xml:space="preserve"> by means of the grading tables</w:t>
      </w:r>
      <w:r w:rsidR="00256C6C" w:rsidRPr="00BA58CA">
        <w:rPr>
          <w:rFonts w:ascii="Times New Roman" w:hAnsi="Times New Roman" w:cs="Times New Roman"/>
          <w:sz w:val="24"/>
          <w:szCs w:val="24"/>
          <w:lang w:val="en-GB"/>
        </w:rPr>
        <w:t xml:space="preserve">. This is applied to each </w:t>
      </w:r>
      <w:r w:rsidR="00BA58CA" w:rsidRPr="00BA58CA">
        <w:rPr>
          <w:rFonts w:ascii="Times New Roman" w:hAnsi="Times New Roman" w:cs="Times New Roman"/>
          <w:sz w:val="24"/>
          <w:szCs w:val="24"/>
          <w:lang w:val="en-GB"/>
        </w:rPr>
        <w:t xml:space="preserve">course unit grade. </w:t>
      </w:r>
      <w:r w:rsidR="00256C6C" w:rsidRPr="00BA58CA">
        <w:rPr>
          <w:rFonts w:ascii="Times New Roman" w:hAnsi="Times New Roman" w:cs="Times New Roman"/>
          <w:sz w:val="24"/>
          <w:szCs w:val="24"/>
          <w:lang w:val="en-GB"/>
        </w:rPr>
        <w:t xml:space="preserve">If a student’s grade belongs to the top 16% of </w:t>
      </w:r>
      <w:r w:rsidR="00BA58CA" w:rsidRPr="00BA58CA">
        <w:rPr>
          <w:rFonts w:ascii="Times New Roman" w:hAnsi="Times New Roman" w:cs="Times New Roman"/>
          <w:sz w:val="24"/>
          <w:szCs w:val="24"/>
          <w:lang w:val="en-GB"/>
        </w:rPr>
        <w:t>his reference group we look up</w:t>
      </w:r>
      <w:r w:rsidR="00F61355">
        <w:rPr>
          <w:rFonts w:ascii="Times New Roman" w:hAnsi="Times New Roman" w:cs="Times New Roman"/>
          <w:sz w:val="24"/>
          <w:szCs w:val="24"/>
          <w:lang w:val="en-GB"/>
        </w:rPr>
        <w:t xml:space="preserve"> the mark with the </w:t>
      </w:r>
      <w:r w:rsidR="00BA58CA" w:rsidRPr="00BA58CA">
        <w:rPr>
          <w:rFonts w:ascii="Times New Roman" w:hAnsi="Times New Roman" w:cs="Times New Roman"/>
          <w:sz w:val="24"/>
          <w:szCs w:val="24"/>
          <w:lang w:val="en-GB"/>
        </w:rPr>
        <w:t xml:space="preserve">corresponding </w:t>
      </w:r>
      <w:r w:rsidR="00BA58CA">
        <w:rPr>
          <w:rFonts w:ascii="Times New Roman" w:hAnsi="Times New Roman" w:cs="Times New Roman"/>
          <w:sz w:val="24"/>
          <w:szCs w:val="24"/>
          <w:lang w:val="en-GB"/>
        </w:rPr>
        <w:t>grade</w:t>
      </w:r>
      <w:r w:rsidR="00F61355">
        <w:rPr>
          <w:rFonts w:ascii="Times New Roman" w:hAnsi="Times New Roman" w:cs="Times New Roman"/>
          <w:sz w:val="24"/>
          <w:szCs w:val="24"/>
          <w:lang w:val="en-GB"/>
        </w:rPr>
        <w:t xml:space="preserve"> that is closest to that percentage.</w:t>
      </w:r>
      <w:r w:rsidR="00BA58CA">
        <w:rPr>
          <w:rFonts w:ascii="Times New Roman" w:hAnsi="Times New Roman" w:cs="Times New Roman"/>
          <w:sz w:val="24"/>
          <w:szCs w:val="24"/>
          <w:lang w:val="en-GB"/>
        </w:rPr>
        <w:t xml:space="preserve"> If there is an overlap between several grades, the median is taken.</w:t>
      </w:r>
      <w:r w:rsidR="00CF6E80">
        <w:rPr>
          <w:rFonts w:ascii="Times New Roman" w:hAnsi="Times New Roman" w:cs="Times New Roman"/>
          <w:sz w:val="24"/>
          <w:szCs w:val="24"/>
          <w:lang w:val="en-GB"/>
        </w:rPr>
        <w:t xml:space="preserve"> The Egracons tool will enable such conversions to be done automatically. </w:t>
      </w:r>
    </w:p>
    <w:p w:rsidR="00CF6E80" w:rsidRPr="00CF6E80" w:rsidRDefault="00CF6E80" w:rsidP="00CF6E80">
      <w:pPr>
        <w:jc w:val="both"/>
        <w:rPr>
          <w:rFonts w:ascii="Times New Roman" w:hAnsi="Times New Roman" w:cs="Times New Roman"/>
          <w:b/>
          <w:sz w:val="32"/>
          <w:szCs w:val="32"/>
          <w:u w:val="single"/>
          <w:lang w:val="en-GB"/>
        </w:rPr>
      </w:pPr>
      <w:r w:rsidRPr="00CF6E80">
        <w:rPr>
          <w:rFonts w:ascii="Times New Roman" w:hAnsi="Times New Roman" w:cs="Times New Roman"/>
          <w:b/>
          <w:sz w:val="32"/>
          <w:szCs w:val="32"/>
          <w:u w:val="single"/>
          <w:lang w:val="en-GB"/>
        </w:rPr>
        <w:t>How to proceed now?</w:t>
      </w:r>
    </w:p>
    <w:p w:rsidR="000D4DCA" w:rsidRDefault="000D4DCA" w:rsidP="00CF6E80">
      <w:pPr>
        <w:jc w:val="both"/>
        <w:rPr>
          <w:rFonts w:ascii="Times New Roman" w:hAnsi="Times New Roman" w:cs="Times New Roman"/>
          <w:sz w:val="24"/>
          <w:szCs w:val="24"/>
          <w:lang w:val="en-GB"/>
        </w:rPr>
      </w:pPr>
      <w:r w:rsidRPr="00CF6E80">
        <w:rPr>
          <w:rFonts w:ascii="Times New Roman" w:hAnsi="Times New Roman" w:cs="Times New Roman"/>
          <w:sz w:val="24"/>
          <w:szCs w:val="24"/>
          <w:lang w:val="en-GB"/>
        </w:rPr>
        <w:t xml:space="preserve">Every HEI is now invited to </w:t>
      </w:r>
      <w:r w:rsidR="00F61355">
        <w:rPr>
          <w:rFonts w:ascii="Times New Roman" w:hAnsi="Times New Roman" w:cs="Times New Roman"/>
          <w:sz w:val="24"/>
          <w:szCs w:val="24"/>
          <w:lang w:val="en-GB"/>
        </w:rPr>
        <w:t xml:space="preserve">work out </w:t>
      </w:r>
      <w:r w:rsidRPr="00CF6E80">
        <w:rPr>
          <w:rFonts w:ascii="Times New Roman" w:hAnsi="Times New Roman" w:cs="Times New Roman"/>
          <w:sz w:val="24"/>
          <w:szCs w:val="24"/>
          <w:lang w:val="en-GB"/>
        </w:rPr>
        <w:t xml:space="preserve">their own grading tables </w:t>
      </w:r>
      <w:r w:rsidR="00CF6E80">
        <w:rPr>
          <w:rFonts w:ascii="Times New Roman" w:hAnsi="Times New Roman" w:cs="Times New Roman"/>
          <w:sz w:val="24"/>
          <w:szCs w:val="24"/>
          <w:lang w:val="en-GB"/>
        </w:rPr>
        <w:t xml:space="preserve">for inclusion in the Egracons Tool </w:t>
      </w:r>
      <w:r w:rsidRPr="00CF6E80">
        <w:rPr>
          <w:rFonts w:ascii="Times New Roman" w:hAnsi="Times New Roman" w:cs="Times New Roman"/>
          <w:sz w:val="24"/>
          <w:szCs w:val="24"/>
          <w:lang w:val="en-GB"/>
        </w:rPr>
        <w:t xml:space="preserve">using the agreed Grading Table template (please follow this link </w:t>
      </w:r>
      <w:hyperlink r:id="rId15" w:history="1">
        <w:r w:rsidRPr="00CF6E80">
          <w:rPr>
            <w:rStyle w:val="Hyperlink"/>
            <w:rFonts w:ascii="Times New Roman" w:hAnsi="Times New Roman" w:cs="Times New Roman"/>
            <w:sz w:val="24"/>
            <w:szCs w:val="24"/>
            <w:lang w:val="en-GB"/>
          </w:rPr>
          <w:t>for instructions, the template and an example</w:t>
        </w:r>
      </w:hyperlink>
      <w:r w:rsidRPr="00CF6E80">
        <w:rPr>
          <w:rFonts w:ascii="Times New Roman" w:hAnsi="Times New Roman" w:cs="Times New Roman"/>
          <w:i/>
          <w:sz w:val="24"/>
          <w:szCs w:val="24"/>
          <w:lang w:val="en-GB"/>
        </w:rPr>
        <w:t>)</w:t>
      </w:r>
      <w:r w:rsidRPr="00CF6E80">
        <w:rPr>
          <w:rFonts w:ascii="Times New Roman" w:hAnsi="Times New Roman" w:cs="Times New Roman"/>
          <w:sz w:val="24"/>
          <w:szCs w:val="24"/>
          <w:lang w:val="en-GB"/>
        </w:rPr>
        <w:t xml:space="preserve"> and to rep</w:t>
      </w:r>
      <w:r w:rsidR="00E80EF6">
        <w:rPr>
          <w:rFonts w:ascii="Times New Roman" w:hAnsi="Times New Roman" w:cs="Times New Roman"/>
          <w:sz w:val="24"/>
          <w:szCs w:val="24"/>
          <w:lang w:val="en-GB"/>
        </w:rPr>
        <w:t xml:space="preserve">ort the results to the </w:t>
      </w:r>
      <w:r w:rsidR="008E1AC4">
        <w:rPr>
          <w:rFonts w:ascii="Times New Roman" w:hAnsi="Times New Roman" w:cs="Times New Roman"/>
          <w:sz w:val="24"/>
          <w:szCs w:val="24"/>
          <w:lang w:val="en-GB"/>
        </w:rPr>
        <w:t>project (</w:t>
      </w:r>
      <w:hyperlink r:id="rId16" w:history="1">
        <w:r w:rsidR="008E1AC4" w:rsidRPr="005A0246">
          <w:rPr>
            <w:rStyle w:val="Hyperlink"/>
            <w:rFonts w:ascii="Times New Roman" w:hAnsi="Times New Roman" w:cs="Times New Roman"/>
            <w:sz w:val="24"/>
            <w:szCs w:val="24"/>
            <w:lang w:val="en-GB"/>
          </w:rPr>
          <w:t>valere.meus@ugent.be</w:t>
        </w:r>
      </w:hyperlink>
      <w:r w:rsidR="008E1AC4">
        <w:rPr>
          <w:rFonts w:ascii="Times New Roman" w:hAnsi="Times New Roman" w:cs="Times New Roman"/>
          <w:sz w:val="24"/>
          <w:szCs w:val="24"/>
          <w:lang w:val="en-GB"/>
        </w:rPr>
        <w:t>).</w:t>
      </w:r>
    </w:p>
    <w:p w:rsidR="008E1AC4" w:rsidRDefault="008E1AC4" w:rsidP="00CF6E80">
      <w:pPr>
        <w:jc w:val="both"/>
        <w:rPr>
          <w:rFonts w:ascii="Times New Roman" w:hAnsi="Times New Roman" w:cs="Times New Roman"/>
          <w:sz w:val="24"/>
          <w:szCs w:val="24"/>
          <w:lang w:val="en-GB"/>
        </w:rPr>
      </w:pPr>
      <w:r>
        <w:rPr>
          <w:rFonts w:ascii="Times New Roman" w:hAnsi="Times New Roman" w:cs="Times New Roman"/>
          <w:sz w:val="24"/>
          <w:szCs w:val="24"/>
          <w:lang w:val="en-GB"/>
        </w:rPr>
        <w:t>Each institution should appoint an Egracons Tool Local Administrator who manages its users.</w:t>
      </w:r>
      <w:r>
        <w:rPr>
          <w:rFonts w:ascii="Times New Roman" w:hAnsi="Times New Roman" w:cs="Times New Roman"/>
          <w:sz w:val="24"/>
          <w:szCs w:val="24"/>
          <w:lang w:val="en-GB"/>
        </w:rPr>
        <w:br/>
        <w:t xml:space="preserve">This person has to register and be activated by the Egracons Tool Team. Afterwards the tool can be used. </w:t>
      </w:r>
    </w:p>
    <w:p w:rsidR="008E1AC4" w:rsidRDefault="008E1AC4" w:rsidP="00CF6E80">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Institutions are also advised to try and convince their partners to supply their grading tables. The tool is open to any kind of Higher Education Institution both within and outside Europe. </w:t>
      </w:r>
    </w:p>
    <w:p w:rsidR="008E1AC4" w:rsidRDefault="008E1AC4" w:rsidP="00CF6E80">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Conversion is only possible from a host university to one’s own HEI. </w:t>
      </w:r>
    </w:p>
    <w:p w:rsidR="008E1AC4" w:rsidRPr="00CF6E80" w:rsidRDefault="008E1AC4" w:rsidP="00CF6E80">
      <w:pPr>
        <w:jc w:val="both"/>
        <w:rPr>
          <w:rStyle w:val="Hyperlink"/>
          <w:rFonts w:ascii="Times New Roman" w:hAnsi="Times New Roman" w:cs="Times New Roman"/>
          <w:color w:val="auto"/>
          <w:sz w:val="24"/>
          <w:szCs w:val="24"/>
          <w:u w:val="none"/>
          <w:lang w:val="en-GB"/>
        </w:rPr>
      </w:pPr>
    </w:p>
    <w:p w:rsidR="008E1AC4" w:rsidRDefault="008E1AC4" w:rsidP="009F4BA6">
      <w:pPr>
        <w:jc w:val="both"/>
        <w:rPr>
          <w:rFonts w:ascii="Times New Roman" w:hAnsi="Times New Roman" w:cs="Times New Roman"/>
          <w:b/>
          <w:sz w:val="32"/>
          <w:szCs w:val="32"/>
          <w:u w:val="single"/>
          <w:lang w:val="en-GB"/>
        </w:rPr>
      </w:pPr>
    </w:p>
    <w:p w:rsidR="00713A93" w:rsidRDefault="00713A93" w:rsidP="009F4BA6">
      <w:pPr>
        <w:jc w:val="both"/>
        <w:rPr>
          <w:rFonts w:ascii="Times New Roman" w:hAnsi="Times New Roman" w:cs="Times New Roman"/>
          <w:b/>
          <w:sz w:val="32"/>
          <w:szCs w:val="32"/>
          <w:u w:val="single"/>
          <w:lang w:val="en-GB"/>
        </w:rPr>
      </w:pPr>
    </w:p>
    <w:p w:rsidR="00AC210F" w:rsidRPr="00CF6E80" w:rsidRDefault="00AC210F" w:rsidP="009F4BA6">
      <w:pPr>
        <w:jc w:val="both"/>
        <w:rPr>
          <w:rFonts w:ascii="Times New Roman" w:hAnsi="Times New Roman" w:cs="Times New Roman"/>
          <w:b/>
          <w:sz w:val="32"/>
          <w:szCs w:val="32"/>
          <w:u w:val="single"/>
          <w:lang w:val="en-GB"/>
        </w:rPr>
      </w:pPr>
      <w:r w:rsidRPr="00CF6E80">
        <w:rPr>
          <w:rFonts w:ascii="Times New Roman" w:hAnsi="Times New Roman" w:cs="Times New Roman"/>
          <w:b/>
          <w:sz w:val="32"/>
          <w:szCs w:val="32"/>
          <w:u w:val="single"/>
          <w:lang w:val="en-GB"/>
        </w:rPr>
        <w:lastRenderedPageBreak/>
        <w:t>Concrete example of conversion</w:t>
      </w:r>
    </w:p>
    <w:p w:rsidR="00AC210F" w:rsidRDefault="002E258A" w:rsidP="009F4BA6">
      <w:pPr>
        <w:jc w:val="both"/>
        <w:rPr>
          <w:rFonts w:ascii="Times New Roman" w:hAnsi="Times New Roman" w:cs="Times New Roman"/>
          <w:sz w:val="24"/>
          <w:szCs w:val="24"/>
          <w:lang w:val="en-GB"/>
        </w:rPr>
      </w:pPr>
      <w:r w:rsidRPr="002E258A">
        <w:rPr>
          <w:rFonts w:ascii="Times New Roman" w:hAnsi="Times New Roman" w:cs="Times New Roman"/>
          <w:noProof/>
          <w:sz w:val="24"/>
          <w:szCs w:val="24"/>
          <w:lang w:val="nl-BE" w:eastAsia="nl-BE"/>
        </w:rPr>
        <mc:AlternateContent>
          <mc:Choice Requires="wps">
            <w:drawing>
              <wp:anchor distT="0" distB="0" distL="114300" distR="114300" simplePos="0" relativeHeight="251659264" behindDoc="0" locked="0" layoutInCell="1" allowOverlap="1" wp14:anchorId="75A0A5FE" wp14:editId="2F0CF411">
                <wp:simplePos x="0" y="0"/>
                <wp:positionH relativeFrom="column">
                  <wp:posOffset>-53340</wp:posOffset>
                </wp:positionH>
                <wp:positionV relativeFrom="paragraph">
                  <wp:posOffset>73660</wp:posOffset>
                </wp:positionV>
                <wp:extent cx="6638925" cy="4010025"/>
                <wp:effectExtent l="0" t="0" r="0" b="9525"/>
                <wp:wrapNone/>
                <wp:docPr id="11271" name="8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401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B61" w:rsidRDefault="00200B61" w:rsidP="002E258A">
                            <w:pPr>
                              <w:pStyle w:val="Normaalweb"/>
                              <w:spacing w:before="0" w:beforeAutospacing="0" w:after="0" w:afterAutospacing="0"/>
                              <w:textAlignment w:val="baseline"/>
                              <w:rPr>
                                <w:rFonts w:ascii="Calibri" w:hAnsi="Calibri" w:cstheme="minorBidi"/>
                                <w:color w:val="000000" w:themeColor="text1"/>
                                <w:kern w:val="24"/>
                                <w:lang w:val="en-GB"/>
                              </w:rPr>
                            </w:pPr>
                            <w:r>
                              <w:rPr>
                                <w:rFonts w:ascii="Calibri" w:hAnsi="Calibri" w:cstheme="minorBidi"/>
                                <w:b/>
                                <w:bCs/>
                                <w:color w:val="000000" w:themeColor="text1"/>
                                <w:kern w:val="24"/>
                                <w:sz w:val="48"/>
                                <w:szCs w:val="48"/>
                                <w:u w:val="single"/>
                                <w:lang w:val="en-GB"/>
                              </w:rPr>
                              <w:t>Italy</w:t>
                            </w:r>
                            <w:r>
                              <w:rPr>
                                <w:rFonts w:ascii="Calibri" w:hAnsi="Calibri" w:cstheme="minorBidi"/>
                                <w:color w:val="000000" w:themeColor="text1"/>
                                <w:kern w:val="24"/>
                                <w:lang w:val="en-GB"/>
                              </w:rPr>
                              <w:t xml:space="preserve"> (</w:t>
                            </w:r>
                            <w:r>
                              <w:rPr>
                                <w:rFonts w:ascii="Calibri" w:hAnsi="Calibri" w:cstheme="minorBidi"/>
                                <w:i/>
                                <w:iCs/>
                                <w:color w:val="000000" w:themeColor="text1"/>
                                <w:kern w:val="24"/>
                                <w:lang w:val="en-GB"/>
                              </w:rPr>
                              <w:t>Users’ Guide ECTS 2009</w:t>
                            </w:r>
                            <w:r>
                              <w:rPr>
                                <w:rFonts w:ascii="Calibri" w:hAnsi="Calibri" w:cstheme="minorBidi"/>
                                <w:color w:val="000000" w:themeColor="text1"/>
                                <w:kern w:val="24"/>
                                <w:lang w:val="en-GB"/>
                              </w:rPr>
                              <w:t>, p. 43)</w:t>
                            </w:r>
                          </w:p>
                          <w:p w:rsidR="00200B61" w:rsidRPr="002E258A" w:rsidRDefault="00200B61" w:rsidP="002E258A">
                            <w:pPr>
                              <w:pStyle w:val="Normaalweb"/>
                              <w:spacing w:before="0" w:beforeAutospacing="0" w:after="0" w:afterAutospacing="0"/>
                              <w:textAlignment w:val="baseline"/>
                              <w:rPr>
                                <w:lang w:val="en-US"/>
                              </w:rPr>
                            </w:pPr>
                          </w:p>
                          <w:tbl>
                            <w:tblPr>
                              <w:tblW w:w="10035" w:type="dxa"/>
                              <w:tblCellMar>
                                <w:left w:w="0" w:type="dxa"/>
                                <w:right w:w="0" w:type="dxa"/>
                              </w:tblCellMar>
                              <w:tblLook w:val="0600" w:firstRow="0" w:lastRow="0" w:firstColumn="0" w:lastColumn="0" w:noHBand="1" w:noVBand="1"/>
                            </w:tblPr>
                            <w:tblGrid>
                              <w:gridCol w:w="696"/>
                              <w:gridCol w:w="693"/>
                              <w:gridCol w:w="693"/>
                              <w:gridCol w:w="692"/>
                              <w:gridCol w:w="692"/>
                              <w:gridCol w:w="626"/>
                              <w:gridCol w:w="777"/>
                              <w:gridCol w:w="692"/>
                              <w:gridCol w:w="692"/>
                              <w:gridCol w:w="777"/>
                              <w:gridCol w:w="777"/>
                              <w:gridCol w:w="692"/>
                              <w:gridCol w:w="777"/>
                              <w:gridCol w:w="759"/>
                            </w:tblGrid>
                            <w:tr w:rsidR="00200B61" w:rsidRPr="002E258A" w:rsidTr="002E258A">
                              <w:trPr>
                                <w:trHeight w:val="817"/>
                              </w:trPr>
                              <w:tc>
                                <w:tcPr>
                                  <w:tcW w:w="696"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18</w:t>
                                  </w:r>
                                </w:p>
                              </w:tc>
                              <w:tc>
                                <w:tcPr>
                                  <w:tcW w:w="693"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19</w:t>
                                  </w:r>
                                </w:p>
                              </w:tc>
                              <w:tc>
                                <w:tcPr>
                                  <w:tcW w:w="693"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20</w:t>
                                  </w:r>
                                </w:p>
                              </w:tc>
                              <w:tc>
                                <w:tcPr>
                                  <w:tcW w:w="692"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21</w:t>
                                  </w:r>
                                </w:p>
                              </w:tc>
                              <w:tc>
                                <w:tcPr>
                                  <w:tcW w:w="692"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22</w:t>
                                  </w:r>
                                </w:p>
                              </w:tc>
                              <w:tc>
                                <w:tcPr>
                                  <w:tcW w:w="626"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23</w:t>
                                  </w:r>
                                </w:p>
                              </w:tc>
                              <w:tc>
                                <w:tcPr>
                                  <w:tcW w:w="777"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24</w:t>
                                  </w:r>
                                </w:p>
                              </w:tc>
                              <w:tc>
                                <w:tcPr>
                                  <w:tcW w:w="692"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25</w:t>
                                  </w:r>
                                </w:p>
                              </w:tc>
                              <w:tc>
                                <w:tcPr>
                                  <w:tcW w:w="692"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26</w:t>
                                  </w:r>
                                </w:p>
                              </w:tc>
                              <w:tc>
                                <w:tcPr>
                                  <w:tcW w:w="777"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27</w:t>
                                  </w:r>
                                </w:p>
                              </w:tc>
                              <w:tc>
                                <w:tcPr>
                                  <w:tcW w:w="777"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28</w:t>
                                  </w:r>
                                </w:p>
                              </w:tc>
                              <w:tc>
                                <w:tcPr>
                                  <w:tcW w:w="692"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29</w:t>
                                  </w:r>
                                </w:p>
                              </w:tc>
                              <w:tc>
                                <w:tcPr>
                                  <w:tcW w:w="777"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30</w:t>
                                  </w:r>
                                </w:p>
                              </w:tc>
                              <w:tc>
                                <w:tcPr>
                                  <w:tcW w:w="759"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30 lode</w:t>
                                  </w:r>
                                </w:p>
                              </w:tc>
                            </w:tr>
                            <w:tr w:rsidR="00200B61" w:rsidRPr="002E258A" w:rsidTr="002E258A">
                              <w:trPr>
                                <w:trHeight w:val="691"/>
                              </w:trPr>
                              <w:tc>
                                <w:tcPr>
                                  <w:tcW w:w="69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6.9%</w:t>
                                  </w:r>
                                </w:p>
                              </w:tc>
                              <w:tc>
                                <w:tcPr>
                                  <w:tcW w:w="6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1.9%</w:t>
                                  </w:r>
                                </w:p>
                              </w:tc>
                              <w:tc>
                                <w:tcPr>
                                  <w:tcW w:w="6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5.7%</w:t>
                                  </w:r>
                                </w:p>
                              </w:tc>
                              <w:tc>
                                <w:tcPr>
                                  <w:tcW w:w="6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2.3%</w:t>
                                  </w:r>
                                </w:p>
                              </w:tc>
                              <w:tc>
                                <w:tcPr>
                                  <w:tcW w:w="6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6.0%</w:t>
                                  </w:r>
                                </w:p>
                              </w:tc>
                              <w:tc>
                                <w:tcPr>
                                  <w:tcW w:w="6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2.7%</w:t>
                                  </w: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11.3%</w:t>
                                  </w:r>
                                </w:p>
                              </w:tc>
                              <w:tc>
                                <w:tcPr>
                                  <w:tcW w:w="6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8.2%</w:t>
                                  </w:r>
                                </w:p>
                              </w:tc>
                              <w:tc>
                                <w:tcPr>
                                  <w:tcW w:w="6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9.0%</w:t>
                                  </w: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11.8%</w:t>
                                  </w: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12.3%</w:t>
                                  </w:r>
                                </w:p>
                              </w:tc>
                              <w:tc>
                                <w:tcPr>
                                  <w:tcW w:w="6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0.5%</w:t>
                                  </w: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15.7%</w:t>
                                  </w:r>
                                </w:p>
                              </w:tc>
                              <w:tc>
                                <w:tcPr>
                                  <w:tcW w:w="7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5.7%</w:t>
                                  </w:r>
                                </w:p>
                              </w:tc>
                            </w:tr>
                            <w:tr w:rsidR="00200B61" w:rsidRPr="002E258A" w:rsidTr="002E258A">
                              <w:trPr>
                                <w:trHeight w:val="361"/>
                              </w:trPr>
                              <w:tc>
                                <w:tcPr>
                                  <w:tcW w:w="69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100*</w:t>
                                  </w:r>
                                </w:p>
                              </w:tc>
                              <w:tc>
                                <w:tcPr>
                                  <w:tcW w:w="6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93,1</w:t>
                                  </w:r>
                                </w:p>
                              </w:tc>
                              <w:tc>
                                <w:tcPr>
                                  <w:tcW w:w="6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91,2</w:t>
                                  </w:r>
                                </w:p>
                              </w:tc>
                              <w:tc>
                                <w:tcPr>
                                  <w:tcW w:w="6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85,5</w:t>
                                  </w:r>
                                </w:p>
                              </w:tc>
                              <w:tc>
                                <w:tcPr>
                                  <w:tcW w:w="6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83,2</w:t>
                                  </w:r>
                                </w:p>
                              </w:tc>
                              <w:tc>
                                <w:tcPr>
                                  <w:tcW w:w="6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77,2</w:t>
                                  </w: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74,5</w:t>
                                  </w:r>
                                </w:p>
                              </w:tc>
                              <w:tc>
                                <w:tcPr>
                                  <w:tcW w:w="6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63,2</w:t>
                                  </w:r>
                                </w:p>
                              </w:tc>
                              <w:tc>
                                <w:tcPr>
                                  <w:tcW w:w="6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55</w:t>
                                  </w: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46</w:t>
                                  </w: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34,2</w:t>
                                  </w:r>
                                </w:p>
                              </w:tc>
                              <w:tc>
                                <w:tcPr>
                                  <w:tcW w:w="6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21,9</w:t>
                                  </w: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21,4</w:t>
                                  </w:r>
                                </w:p>
                              </w:tc>
                              <w:tc>
                                <w:tcPr>
                                  <w:tcW w:w="7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5,7</w:t>
                                  </w:r>
                                </w:p>
                              </w:tc>
                            </w:tr>
                          </w:tbl>
                          <w:p w:rsidR="00200B61" w:rsidRPr="00BE6766" w:rsidRDefault="00200B61" w:rsidP="002E258A">
                            <w:pPr>
                              <w:pStyle w:val="Normaalweb"/>
                              <w:spacing w:before="0" w:beforeAutospacing="0" w:after="0" w:afterAutospacing="0"/>
                              <w:textAlignment w:val="baseline"/>
                              <w:rPr>
                                <w:rFonts w:ascii="Calibri" w:hAnsi="Calibri" w:cstheme="minorBidi"/>
                                <w:color w:val="000000" w:themeColor="text1"/>
                                <w:kern w:val="24"/>
                                <w:lang w:val="fr-FR"/>
                              </w:rPr>
                            </w:pPr>
                            <w:r w:rsidRPr="00BE6766">
                              <w:rPr>
                                <w:rFonts w:ascii="Calibri" w:hAnsi="Calibri" w:cstheme="minorBidi"/>
                                <w:b/>
                                <w:bCs/>
                                <w:color w:val="000000" w:themeColor="text1"/>
                                <w:kern w:val="24"/>
                                <w:sz w:val="48"/>
                                <w:szCs w:val="48"/>
                                <w:u w:val="single"/>
                                <w:lang w:val="fr-FR"/>
                              </w:rPr>
                              <w:t xml:space="preserve">France </w:t>
                            </w:r>
                            <w:r w:rsidRPr="00BE6766">
                              <w:rPr>
                                <w:rFonts w:ascii="Calibri" w:hAnsi="Calibri" w:cstheme="minorBidi"/>
                                <w:color w:val="000000" w:themeColor="text1"/>
                                <w:kern w:val="24"/>
                                <w:sz w:val="40"/>
                                <w:szCs w:val="40"/>
                                <w:lang w:val="fr-FR"/>
                              </w:rPr>
                              <w:t xml:space="preserve"> </w:t>
                            </w:r>
                            <w:r w:rsidRPr="00BE6766">
                              <w:rPr>
                                <w:rFonts w:ascii="Calibri" w:hAnsi="Calibri" w:cstheme="minorBidi"/>
                                <w:color w:val="000000" w:themeColor="text1"/>
                                <w:kern w:val="24"/>
                                <w:lang w:val="fr-FR"/>
                              </w:rPr>
                              <w:t>(table Université de Rouen, all disciplines, all levels)</w:t>
                            </w:r>
                          </w:p>
                          <w:p w:rsidR="00200B61" w:rsidRPr="00BE6766" w:rsidRDefault="00200B61" w:rsidP="002E258A">
                            <w:pPr>
                              <w:pStyle w:val="Normaalweb"/>
                              <w:spacing w:before="0" w:beforeAutospacing="0" w:after="0" w:afterAutospacing="0"/>
                              <w:textAlignment w:val="baseline"/>
                              <w:rPr>
                                <w:rFonts w:ascii="Calibri" w:hAnsi="Calibri" w:cstheme="minorBidi"/>
                                <w:color w:val="000000" w:themeColor="text1"/>
                                <w:kern w:val="24"/>
                                <w:lang w:val="fr-FR"/>
                              </w:rPr>
                            </w:pPr>
                          </w:p>
                          <w:tbl>
                            <w:tblPr>
                              <w:tblW w:w="10200" w:type="dxa"/>
                              <w:tblCellMar>
                                <w:left w:w="0" w:type="dxa"/>
                                <w:right w:w="0" w:type="dxa"/>
                              </w:tblCellMar>
                              <w:tblLook w:val="04A0" w:firstRow="1" w:lastRow="0" w:firstColumn="1" w:lastColumn="0" w:noHBand="0" w:noVBand="1"/>
                            </w:tblPr>
                            <w:tblGrid>
                              <w:gridCol w:w="958"/>
                              <w:gridCol w:w="959"/>
                              <w:gridCol w:w="939"/>
                              <w:gridCol w:w="1038"/>
                              <w:gridCol w:w="938"/>
                              <w:gridCol w:w="978"/>
                              <w:gridCol w:w="898"/>
                              <w:gridCol w:w="898"/>
                              <w:gridCol w:w="859"/>
                              <w:gridCol w:w="918"/>
                              <w:gridCol w:w="817"/>
                            </w:tblGrid>
                            <w:tr w:rsidR="00200B61" w:rsidRPr="002E258A" w:rsidTr="002E258A">
                              <w:trPr>
                                <w:trHeight w:val="435"/>
                              </w:trPr>
                              <w:tc>
                                <w:tcPr>
                                  <w:tcW w:w="95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b/>
                                      <w:bCs/>
                                      <w:color w:val="FFFFFF" w:themeColor="light1"/>
                                      <w:kern w:val="24"/>
                                      <w:sz w:val="32"/>
                                      <w:szCs w:val="32"/>
                                      <w:lang w:val="nl-BE" w:eastAsia="nl-BE"/>
                                    </w:rPr>
                                    <w:t>10</w:t>
                                  </w:r>
                                </w:p>
                              </w:tc>
                              <w:tc>
                                <w:tcPr>
                                  <w:tcW w:w="95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b/>
                                      <w:bCs/>
                                      <w:color w:val="FFFFFF" w:themeColor="light1"/>
                                      <w:kern w:val="24"/>
                                      <w:sz w:val="32"/>
                                      <w:szCs w:val="32"/>
                                      <w:lang w:val="nl-BE" w:eastAsia="nl-BE"/>
                                    </w:rPr>
                                    <w:t>11</w:t>
                                  </w:r>
                                </w:p>
                              </w:tc>
                              <w:tc>
                                <w:tcPr>
                                  <w:tcW w:w="93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b/>
                                      <w:bCs/>
                                      <w:color w:val="FFFFFF" w:themeColor="light1"/>
                                      <w:kern w:val="24"/>
                                      <w:sz w:val="32"/>
                                      <w:szCs w:val="32"/>
                                      <w:lang w:val="nl-BE" w:eastAsia="nl-BE"/>
                                    </w:rPr>
                                    <w:t>12</w:t>
                                  </w:r>
                                </w:p>
                              </w:tc>
                              <w:tc>
                                <w:tcPr>
                                  <w:tcW w:w="103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b/>
                                      <w:bCs/>
                                      <w:color w:val="FFFFFF" w:themeColor="light1"/>
                                      <w:kern w:val="24"/>
                                      <w:sz w:val="32"/>
                                      <w:szCs w:val="32"/>
                                      <w:lang w:val="nl-BE" w:eastAsia="nl-BE"/>
                                    </w:rPr>
                                    <w:t>13</w:t>
                                  </w:r>
                                </w:p>
                              </w:tc>
                              <w:tc>
                                <w:tcPr>
                                  <w:tcW w:w="93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b/>
                                      <w:bCs/>
                                      <w:color w:val="FFFFFF" w:themeColor="light1"/>
                                      <w:kern w:val="24"/>
                                      <w:sz w:val="32"/>
                                      <w:szCs w:val="32"/>
                                      <w:lang w:val="nl-BE" w:eastAsia="nl-BE"/>
                                    </w:rPr>
                                    <w:t>14</w:t>
                                  </w:r>
                                </w:p>
                              </w:tc>
                              <w:tc>
                                <w:tcPr>
                                  <w:tcW w:w="97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b/>
                                      <w:bCs/>
                                      <w:color w:val="FFFFFF" w:themeColor="light1"/>
                                      <w:kern w:val="24"/>
                                      <w:sz w:val="32"/>
                                      <w:szCs w:val="32"/>
                                      <w:lang w:val="nl-BE" w:eastAsia="nl-BE"/>
                                    </w:rPr>
                                    <w:t>15</w:t>
                                  </w:r>
                                </w:p>
                              </w:tc>
                              <w:tc>
                                <w:tcPr>
                                  <w:tcW w:w="89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b/>
                                      <w:bCs/>
                                      <w:color w:val="FFFFFF" w:themeColor="light1"/>
                                      <w:kern w:val="24"/>
                                      <w:sz w:val="32"/>
                                      <w:szCs w:val="32"/>
                                      <w:lang w:val="nl-BE" w:eastAsia="nl-BE"/>
                                    </w:rPr>
                                    <w:t>16</w:t>
                                  </w:r>
                                </w:p>
                              </w:tc>
                              <w:tc>
                                <w:tcPr>
                                  <w:tcW w:w="89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b/>
                                      <w:bCs/>
                                      <w:color w:val="FFFFFF" w:themeColor="light1"/>
                                      <w:kern w:val="24"/>
                                      <w:sz w:val="32"/>
                                      <w:szCs w:val="32"/>
                                      <w:lang w:val="nl-BE" w:eastAsia="nl-BE"/>
                                    </w:rPr>
                                    <w:t>17</w:t>
                                  </w:r>
                                </w:p>
                              </w:tc>
                              <w:tc>
                                <w:tcPr>
                                  <w:tcW w:w="85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b/>
                                      <w:bCs/>
                                      <w:color w:val="FFFFFF" w:themeColor="light1"/>
                                      <w:kern w:val="24"/>
                                      <w:sz w:val="32"/>
                                      <w:szCs w:val="32"/>
                                      <w:lang w:val="nl-BE" w:eastAsia="nl-BE"/>
                                    </w:rPr>
                                    <w:t>18</w:t>
                                  </w:r>
                                </w:p>
                              </w:tc>
                              <w:tc>
                                <w:tcPr>
                                  <w:tcW w:w="91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b/>
                                      <w:bCs/>
                                      <w:color w:val="FFFFFF" w:themeColor="light1"/>
                                      <w:kern w:val="24"/>
                                      <w:sz w:val="32"/>
                                      <w:szCs w:val="32"/>
                                      <w:lang w:val="nl-BE" w:eastAsia="nl-BE"/>
                                    </w:rPr>
                                    <w:t>19</w:t>
                                  </w:r>
                                </w:p>
                              </w:tc>
                              <w:tc>
                                <w:tcPr>
                                  <w:tcW w:w="81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b/>
                                      <w:bCs/>
                                      <w:color w:val="FFFFFF" w:themeColor="light1"/>
                                      <w:kern w:val="24"/>
                                      <w:sz w:val="32"/>
                                      <w:szCs w:val="32"/>
                                      <w:lang w:val="nl-BE" w:eastAsia="nl-BE"/>
                                    </w:rPr>
                                    <w:t>20</w:t>
                                  </w:r>
                                </w:p>
                              </w:tc>
                            </w:tr>
                            <w:tr w:rsidR="00200B61" w:rsidRPr="002E258A" w:rsidTr="002E258A">
                              <w:trPr>
                                <w:trHeight w:val="660"/>
                              </w:trPr>
                              <w:tc>
                                <w:tcPr>
                                  <w:tcW w:w="958" w:type="dxa"/>
                                  <w:tcBorders>
                                    <w:top w:val="single" w:sz="24"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000000" w:themeColor="dark1"/>
                                      <w:kern w:val="24"/>
                                      <w:sz w:val="24"/>
                                      <w:szCs w:val="24"/>
                                      <w:lang w:val="nl-BE" w:eastAsia="nl-BE"/>
                                    </w:rPr>
                                    <w:t>34.79%</w:t>
                                  </w:r>
                                </w:p>
                              </w:tc>
                              <w:tc>
                                <w:tcPr>
                                  <w:tcW w:w="95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18.59%</w:t>
                                  </w:r>
                                </w:p>
                              </w:tc>
                              <w:tc>
                                <w:tcPr>
                                  <w:tcW w:w="93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18.45%</w:t>
                                  </w:r>
                                </w:p>
                              </w:tc>
                              <w:tc>
                                <w:tcPr>
                                  <w:tcW w:w="103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12.05%</w:t>
                                  </w:r>
                                </w:p>
                              </w:tc>
                              <w:tc>
                                <w:tcPr>
                                  <w:tcW w:w="93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9.46%</w:t>
                                  </w:r>
                                </w:p>
                              </w:tc>
                              <w:tc>
                                <w:tcPr>
                                  <w:tcW w:w="97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3.65%</w:t>
                                  </w:r>
                                </w:p>
                              </w:tc>
                              <w:tc>
                                <w:tcPr>
                                  <w:tcW w:w="89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2.30%</w:t>
                                  </w:r>
                                </w:p>
                              </w:tc>
                              <w:tc>
                                <w:tcPr>
                                  <w:tcW w:w="89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0.43%</w:t>
                                  </w:r>
                                </w:p>
                              </w:tc>
                              <w:tc>
                                <w:tcPr>
                                  <w:tcW w:w="85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0.22%</w:t>
                                  </w:r>
                                </w:p>
                              </w:tc>
                              <w:tc>
                                <w:tcPr>
                                  <w:tcW w:w="91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0.06%</w:t>
                                  </w:r>
                                </w:p>
                              </w:tc>
                              <w:tc>
                                <w:tcPr>
                                  <w:tcW w:w="81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0%</w:t>
                                  </w:r>
                                </w:p>
                              </w:tc>
                            </w:tr>
                            <w:tr w:rsidR="00200B61" w:rsidRPr="002E258A" w:rsidTr="002E258A">
                              <w:trPr>
                                <w:trHeight w:val="345"/>
                              </w:trPr>
                              <w:tc>
                                <w:tcPr>
                                  <w:tcW w:w="958"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eastAsiaTheme="minorEastAsia" w:hAnsi="Calibri"/>
                                      <w:b/>
                                      <w:bCs/>
                                      <w:color w:val="C00000"/>
                                      <w:kern w:val="24"/>
                                      <w:sz w:val="24"/>
                                      <w:szCs w:val="24"/>
                                      <w:lang w:val="nl-BE" w:eastAsia="nl-BE"/>
                                    </w:rPr>
                                    <w:t>100</w:t>
                                  </w:r>
                                </w:p>
                              </w:tc>
                              <w:tc>
                                <w:tcPr>
                                  <w:tcW w:w="9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65,21</w:t>
                                  </w:r>
                                </w:p>
                              </w:tc>
                              <w:tc>
                                <w:tcPr>
                                  <w:tcW w:w="9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46,62</w:t>
                                  </w:r>
                                </w:p>
                              </w:tc>
                              <w:tc>
                                <w:tcPr>
                                  <w:tcW w:w="10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28,17</w:t>
                                  </w:r>
                                </w:p>
                              </w:tc>
                              <w:tc>
                                <w:tcPr>
                                  <w:tcW w:w="9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16,12</w:t>
                                  </w:r>
                                </w:p>
                              </w:tc>
                              <w:tc>
                                <w:tcPr>
                                  <w:tcW w:w="97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6,66</w:t>
                                  </w:r>
                                </w:p>
                              </w:tc>
                              <w:tc>
                                <w:tcPr>
                                  <w:tcW w:w="89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3,01</w:t>
                                  </w:r>
                                </w:p>
                              </w:tc>
                              <w:tc>
                                <w:tcPr>
                                  <w:tcW w:w="89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0,71</w:t>
                                  </w:r>
                                </w:p>
                              </w:tc>
                              <w:tc>
                                <w:tcPr>
                                  <w:tcW w:w="8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0,28</w:t>
                                  </w:r>
                                </w:p>
                              </w:tc>
                              <w:tc>
                                <w:tcPr>
                                  <w:tcW w:w="9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0,06</w:t>
                                  </w:r>
                                </w:p>
                              </w:tc>
                              <w:tc>
                                <w:tcPr>
                                  <w:tcW w:w="8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0</w:t>
                                  </w:r>
                                </w:p>
                              </w:tc>
                            </w:tr>
                          </w:tbl>
                          <w:p w:rsidR="00200B61" w:rsidRDefault="00200B61" w:rsidP="002E258A">
                            <w:pPr>
                              <w:pStyle w:val="Normaalweb"/>
                              <w:spacing w:before="0" w:beforeAutospacing="0" w:after="0" w:afterAutospacing="0"/>
                              <w:textAlignment w:val="baseline"/>
                              <w:rPr>
                                <w:rFonts w:ascii="Calibri" w:hAnsi="Calibri" w:cstheme="minorBidi"/>
                                <w:color w:val="000000" w:themeColor="text1"/>
                                <w:kern w:val="24"/>
                                <w:lang w:val="en-GB"/>
                              </w:rPr>
                            </w:pPr>
                          </w:p>
                          <w:p w:rsidR="00200B61" w:rsidRPr="005733F3" w:rsidRDefault="00200B61" w:rsidP="002E258A">
                            <w:pPr>
                              <w:pStyle w:val="Normaalweb"/>
                              <w:spacing w:before="0" w:beforeAutospacing="0" w:after="0" w:afterAutospacing="0"/>
                              <w:textAlignment w:val="baseline"/>
                              <w:rPr>
                                <w:lang w:val="en-US"/>
                              </w:rPr>
                            </w:pPr>
                            <w:r>
                              <w:rPr>
                                <w:rFonts w:ascii="Calibri" w:hAnsi="Calibri" w:cstheme="minorBidi"/>
                                <w:color w:val="C00000"/>
                                <w:kern w:val="24"/>
                                <w:sz w:val="28"/>
                                <w:szCs w:val="28"/>
                                <w:lang w:val="en-GB"/>
                              </w:rPr>
                              <w:t>*Accumulated percentage in red</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75A0A5FE" id="_x0000_t202" coordsize="21600,21600" o:spt="202" path="m,l,21600r21600,l21600,xe">
                <v:stroke joinstyle="miter"/>
                <v:path gradientshapeok="t" o:connecttype="rect"/>
              </v:shapetype>
              <v:shape id="8 CuadroTexto" o:spid="_x0000_s1026" type="#_x0000_t202" style="position:absolute;left:0;text-align:left;margin-left:-4.2pt;margin-top:5.8pt;width:522.75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" filled="f" stroked="f">
                <v:textbox>
                  <w:txbxContent>
                    <w:p w:rsidR="00200B61" w:rsidRDefault="00200B61" w:rsidP="002E258A">
                      <w:pPr>
                        <w:pStyle w:val="Normaalweb"/>
                        <w:spacing w:before="0" w:beforeAutospacing="0" w:after="0" w:afterAutospacing="0"/>
                        <w:textAlignment w:val="baseline"/>
                        <w:rPr>
                          <w:rFonts w:ascii="Calibri" w:hAnsi="Calibri" w:cstheme="minorBidi"/>
                          <w:color w:val="000000" w:themeColor="text1"/>
                          <w:kern w:val="24"/>
                          <w:lang w:val="en-GB"/>
                        </w:rPr>
                      </w:pPr>
                      <w:r>
                        <w:rPr>
                          <w:rFonts w:ascii="Calibri" w:hAnsi="Calibri" w:cstheme="minorBidi"/>
                          <w:b/>
                          <w:bCs/>
                          <w:color w:val="000000" w:themeColor="text1"/>
                          <w:kern w:val="24"/>
                          <w:sz w:val="48"/>
                          <w:szCs w:val="48"/>
                          <w:u w:val="single"/>
                          <w:lang w:val="en-GB"/>
                        </w:rPr>
                        <w:t>Italy</w:t>
                      </w:r>
                      <w:r>
                        <w:rPr>
                          <w:rFonts w:ascii="Calibri" w:hAnsi="Calibri" w:cstheme="minorBidi"/>
                          <w:color w:val="000000" w:themeColor="text1"/>
                          <w:kern w:val="24"/>
                          <w:lang w:val="en-GB"/>
                        </w:rPr>
                        <w:t xml:space="preserve"> (</w:t>
                      </w:r>
                      <w:r>
                        <w:rPr>
                          <w:rFonts w:ascii="Calibri" w:hAnsi="Calibri" w:cstheme="minorBidi"/>
                          <w:i/>
                          <w:iCs/>
                          <w:color w:val="000000" w:themeColor="text1"/>
                          <w:kern w:val="24"/>
                          <w:lang w:val="en-GB"/>
                        </w:rPr>
                        <w:t>Users’ Guide ECTS 2009</w:t>
                      </w:r>
                      <w:r>
                        <w:rPr>
                          <w:rFonts w:ascii="Calibri" w:hAnsi="Calibri" w:cstheme="minorBidi"/>
                          <w:color w:val="000000" w:themeColor="text1"/>
                          <w:kern w:val="24"/>
                          <w:lang w:val="en-GB"/>
                        </w:rPr>
                        <w:t>, p. 43)</w:t>
                      </w:r>
                    </w:p>
                    <w:p w:rsidR="00200B61" w:rsidRPr="002E258A" w:rsidRDefault="00200B61" w:rsidP="002E258A">
                      <w:pPr>
                        <w:pStyle w:val="Normaalweb"/>
                        <w:spacing w:before="0" w:beforeAutospacing="0" w:after="0" w:afterAutospacing="0"/>
                        <w:textAlignment w:val="baseline"/>
                        <w:rPr>
                          <w:lang w:val="en-US"/>
                        </w:rPr>
                      </w:pPr>
                    </w:p>
                    <w:tbl>
                      <w:tblPr>
                        <w:tblW w:w="10035" w:type="dxa"/>
                        <w:tblCellMar>
                          <w:left w:w="0" w:type="dxa"/>
                          <w:right w:w="0" w:type="dxa"/>
                        </w:tblCellMar>
                        <w:tblLook w:val="0600" w:firstRow="0" w:lastRow="0" w:firstColumn="0" w:lastColumn="0" w:noHBand="1" w:noVBand="1"/>
                      </w:tblPr>
                      <w:tblGrid>
                        <w:gridCol w:w="696"/>
                        <w:gridCol w:w="693"/>
                        <w:gridCol w:w="693"/>
                        <w:gridCol w:w="692"/>
                        <w:gridCol w:w="692"/>
                        <w:gridCol w:w="626"/>
                        <w:gridCol w:w="777"/>
                        <w:gridCol w:w="692"/>
                        <w:gridCol w:w="692"/>
                        <w:gridCol w:w="777"/>
                        <w:gridCol w:w="777"/>
                        <w:gridCol w:w="692"/>
                        <w:gridCol w:w="777"/>
                        <w:gridCol w:w="759"/>
                      </w:tblGrid>
                      <w:tr w:rsidR="00200B61" w:rsidRPr="002E258A" w:rsidTr="002E258A">
                        <w:trPr>
                          <w:trHeight w:val="817"/>
                        </w:trPr>
                        <w:tc>
                          <w:tcPr>
                            <w:tcW w:w="696"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18</w:t>
                            </w:r>
                          </w:p>
                        </w:tc>
                        <w:tc>
                          <w:tcPr>
                            <w:tcW w:w="693"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19</w:t>
                            </w:r>
                          </w:p>
                        </w:tc>
                        <w:tc>
                          <w:tcPr>
                            <w:tcW w:w="693"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20</w:t>
                            </w:r>
                          </w:p>
                        </w:tc>
                        <w:tc>
                          <w:tcPr>
                            <w:tcW w:w="692"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21</w:t>
                            </w:r>
                          </w:p>
                        </w:tc>
                        <w:tc>
                          <w:tcPr>
                            <w:tcW w:w="692"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22</w:t>
                            </w:r>
                          </w:p>
                        </w:tc>
                        <w:tc>
                          <w:tcPr>
                            <w:tcW w:w="626"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23</w:t>
                            </w:r>
                          </w:p>
                        </w:tc>
                        <w:tc>
                          <w:tcPr>
                            <w:tcW w:w="777"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24</w:t>
                            </w:r>
                          </w:p>
                        </w:tc>
                        <w:tc>
                          <w:tcPr>
                            <w:tcW w:w="692"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25</w:t>
                            </w:r>
                          </w:p>
                        </w:tc>
                        <w:tc>
                          <w:tcPr>
                            <w:tcW w:w="692"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26</w:t>
                            </w:r>
                          </w:p>
                        </w:tc>
                        <w:tc>
                          <w:tcPr>
                            <w:tcW w:w="777"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27</w:t>
                            </w:r>
                          </w:p>
                        </w:tc>
                        <w:tc>
                          <w:tcPr>
                            <w:tcW w:w="777"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28</w:t>
                            </w:r>
                          </w:p>
                        </w:tc>
                        <w:tc>
                          <w:tcPr>
                            <w:tcW w:w="692"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29</w:t>
                            </w:r>
                          </w:p>
                        </w:tc>
                        <w:tc>
                          <w:tcPr>
                            <w:tcW w:w="777"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30</w:t>
                            </w:r>
                          </w:p>
                        </w:tc>
                        <w:tc>
                          <w:tcPr>
                            <w:tcW w:w="759"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30 lode</w:t>
                            </w:r>
                          </w:p>
                        </w:tc>
                      </w:tr>
                      <w:tr w:rsidR="00200B61" w:rsidRPr="002E258A" w:rsidTr="002E258A">
                        <w:trPr>
                          <w:trHeight w:val="691"/>
                        </w:trPr>
                        <w:tc>
                          <w:tcPr>
                            <w:tcW w:w="69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6.9%</w:t>
                            </w:r>
                          </w:p>
                        </w:tc>
                        <w:tc>
                          <w:tcPr>
                            <w:tcW w:w="6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1.9%</w:t>
                            </w:r>
                          </w:p>
                        </w:tc>
                        <w:tc>
                          <w:tcPr>
                            <w:tcW w:w="6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5.7%</w:t>
                            </w:r>
                          </w:p>
                        </w:tc>
                        <w:tc>
                          <w:tcPr>
                            <w:tcW w:w="6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2.3%</w:t>
                            </w:r>
                          </w:p>
                        </w:tc>
                        <w:tc>
                          <w:tcPr>
                            <w:tcW w:w="6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6.0%</w:t>
                            </w:r>
                          </w:p>
                        </w:tc>
                        <w:tc>
                          <w:tcPr>
                            <w:tcW w:w="6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2.7%</w:t>
                            </w: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11.3%</w:t>
                            </w:r>
                          </w:p>
                        </w:tc>
                        <w:tc>
                          <w:tcPr>
                            <w:tcW w:w="6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8.2%</w:t>
                            </w:r>
                          </w:p>
                        </w:tc>
                        <w:tc>
                          <w:tcPr>
                            <w:tcW w:w="6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9.0%</w:t>
                            </w: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11.8%</w:t>
                            </w: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12.3%</w:t>
                            </w:r>
                          </w:p>
                        </w:tc>
                        <w:tc>
                          <w:tcPr>
                            <w:tcW w:w="6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0.5%</w:t>
                            </w: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15.7%</w:t>
                            </w:r>
                          </w:p>
                        </w:tc>
                        <w:tc>
                          <w:tcPr>
                            <w:tcW w:w="7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5.7%</w:t>
                            </w:r>
                          </w:p>
                        </w:tc>
                      </w:tr>
                      <w:tr w:rsidR="00200B61" w:rsidRPr="002E258A" w:rsidTr="002E258A">
                        <w:trPr>
                          <w:trHeight w:val="361"/>
                        </w:trPr>
                        <w:tc>
                          <w:tcPr>
                            <w:tcW w:w="69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100*</w:t>
                            </w:r>
                          </w:p>
                        </w:tc>
                        <w:tc>
                          <w:tcPr>
                            <w:tcW w:w="6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93,1</w:t>
                            </w:r>
                          </w:p>
                        </w:tc>
                        <w:tc>
                          <w:tcPr>
                            <w:tcW w:w="6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91,2</w:t>
                            </w:r>
                          </w:p>
                        </w:tc>
                        <w:tc>
                          <w:tcPr>
                            <w:tcW w:w="6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85,5</w:t>
                            </w:r>
                          </w:p>
                        </w:tc>
                        <w:tc>
                          <w:tcPr>
                            <w:tcW w:w="6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83,2</w:t>
                            </w:r>
                          </w:p>
                        </w:tc>
                        <w:tc>
                          <w:tcPr>
                            <w:tcW w:w="6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77,2</w:t>
                            </w: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74,5</w:t>
                            </w:r>
                          </w:p>
                        </w:tc>
                        <w:tc>
                          <w:tcPr>
                            <w:tcW w:w="6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63,2</w:t>
                            </w:r>
                          </w:p>
                        </w:tc>
                        <w:tc>
                          <w:tcPr>
                            <w:tcW w:w="6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55</w:t>
                            </w: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46</w:t>
                            </w: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34,2</w:t>
                            </w:r>
                          </w:p>
                        </w:tc>
                        <w:tc>
                          <w:tcPr>
                            <w:tcW w:w="6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21,9</w:t>
                            </w: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21,4</w:t>
                            </w:r>
                          </w:p>
                        </w:tc>
                        <w:tc>
                          <w:tcPr>
                            <w:tcW w:w="7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5,7</w:t>
                            </w:r>
                          </w:p>
                        </w:tc>
                      </w:tr>
                    </w:tbl>
                    <w:p w:rsidR="00200B61" w:rsidRPr="00BE6766" w:rsidRDefault="00200B61" w:rsidP="002E258A">
                      <w:pPr>
                        <w:pStyle w:val="Normaalweb"/>
                        <w:spacing w:before="0" w:beforeAutospacing="0" w:after="0" w:afterAutospacing="0"/>
                        <w:textAlignment w:val="baseline"/>
                        <w:rPr>
                          <w:rFonts w:ascii="Calibri" w:hAnsi="Calibri" w:cstheme="minorBidi"/>
                          <w:color w:val="000000" w:themeColor="text1"/>
                          <w:kern w:val="24"/>
                          <w:lang w:val="fr-FR"/>
                        </w:rPr>
                      </w:pPr>
                      <w:r w:rsidRPr="00BE6766">
                        <w:rPr>
                          <w:rFonts w:ascii="Calibri" w:hAnsi="Calibri" w:cstheme="minorBidi"/>
                          <w:b/>
                          <w:bCs/>
                          <w:color w:val="000000" w:themeColor="text1"/>
                          <w:kern w:val="24"/>
                          <w:sz w:val="48"/>
                          <w:szCs w:val="48"/>
                          <w:u w:val="single"/>
                          <w:lang w:val="fr-FR"/>
                        </w:rPr>
                        <w:t xml:space="preserve">France </w:t>
                      </w:r>
                      <w:r w:rsidRPr="00BE6766">
                        <w:rPr>
                          <w:rFonts w:ascii="Calibri" w:hAnsi="Calibri" w:cstheme="minorBidi"/>
                          <w:color w:val="000000" w:themeColor="text1"/>
                          <w:kern w:val="24"/>
                          <w:sz w:val="40"/>
                          <w:szCs w:val="40"/>
                          <w:lang w:val="fr-FR"/>
                        </w:rPr>
                        <w:t xml:space="preserve"> </w:t>
                      </w:r>
                      <w:r w:rsidRPr="00BE6766">
                        <w:rPr>
                          <w:rFonts w:ascii="Calibri" w:hAnsi="Calibri" w:cstheme="minorBidi"/>
                          <w:color w:val="000000" w:themeColor="text1"/>
                          <w:kern w:val="24"/>
                          <w:lang w:val="fr-FR"/>
                        </w:rPr>
                        <w:t>(table Université de Rouen, all disciplines, all levels)</w:t>
                      </w:r>
                    </w:p>
                    <w:p w:rsidR="00200B61" w:rsidRPr="00BE6766" w:rsidRDefault="00200B61" w:rsidP="002E258A">
                      <w:pPr>
                        <w:pStyle w:val="Normaalweb"/>
                        <w:spacing w:before="0" w:beforeAutospacing="0" w:after="0" w:afterAutospacing="0"/>
                        <w:textAlignment w:val="baseline"/>
                        <w:rPr>
                          <w:rFonts w:ascii="Calibri" w:hAnsi="Calibri" w:cstheme="minorBidi"/>
                          <w:color w:val="000000" w:themeColor="text1"/>
                          <w:kern w:val="24"/>
                          <w:lang w:val="fr-FR"/>
                        </w:rPr>
                      </w:pPr>
                    </w:p>
                    <w:tbl>
                      <w:tblPr>
                        <w:tblW w:w="10200" w:type="dxa"/>
                        <w:tblCellMar>
                          <w:left w:w="0" w:type="dxa"/>
                          <w:right w:w="0" w:type="dxa"/>
                        </w:tblCellMar>
                        <w:tblLook w:val="04A0" w:firstRow="1" w:lastRow="0" w:firstColumn="1" w:lastColumn="0" w:noHBand="0" w:noVBand="1"/>
                      </w:tblPr>
                      <w:tblGrid>
                        <w:gridCol w:w="958"/>
                        <w:gridCol w:w="959"/>
                        <w:gridCol w:w="939"/>
                        <w:gridCol w:w="1038"/>
                        <w:gridCol w:w="938"/>
                        <w:gridCol w:w="978"/>
                        <w:gridCol w:w="898"/>
                        <w:gridCol w:w="898"/>
                        <w:gridCol w:w="859"/>
                        <w:gridCol w:w="918"/>
                        <w:gridCol w:w="817"/>
                      </w:tblGrid>
                      <w:tr w:rsidR="00200B61" w:rsidRPr="002E258A" w:rsidTr="002E258A">
                        <w:trPr>
                          <w:trHeight w:val="435"/>
                        </w:trPr>
                        <w:tc>
                          <w:tcPr>
                            <w:tcW w:w="95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b/>
                                <w:bCs/>
                                <w:color w:val="FFFFFF" w:themeColor="light1"/>
                                <w:kern w:val="24"/>
                                <w:sz w:val="32"/>
                                <w:szCs w:val="32"/>
                                <w:lang w:val="nl-BE" w:eastAsia="nl-BE"/>
                              </w:rPr>
                              <w:t>10</w:t>
                            </w:r>
                          </w:p>
                        </w:tc>
                        <w:tc>
                          <w:tcPr>
                            <w:tcW w:w="95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b/>
                                <w:bCs/>
                                <w:color w:val="FFFFFF" w:themeColor="light1"/>
                                <w:kern w:val="24"/>
                                <w:sz w:val="32"/>
                                <w:szCs w:val="32"/>
                                <w:lang w:val="nl-BE" w:eastAsia="nl-BE"/>
                              </w:rPr>
                              <w:t>11</w:t>
                            </w:r>
                          </w:p>
                        </w:tc>
                        <w:tc>
                          <w:tcPr>
                            <w:tcW w:w="93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b/>
                                <w:bCs/>
                                <w:color w:val="FFFFFF" w:themeColor="light1"/>
                                <w:kern w:val="24"/>
                                <w:sz w:val="32"/>
                                <w:szCs w:val="32"/>
                                <w:lang w:val="nl-BE" w:eastAsia="nl-BE"/>
                              </w:rPr>
                              <w:t>12</w:t>
                            </w:r>
                          </w:p>
                        </w:tc>
                        <w:tc>
                          <w:tcPr>
                            <w:tcW w:w="103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b/>
                                <w:bCs/>
                                <w:color w:val="FFFFFF" w:themeColor="light1"/>
                                <w:kern w:val="24"/>
                                <w:sz w:val="32"/>
                                <w:szCs w:val="32"/>
                                <w:lang w:val="nl-BE" w:eastAsia="nl-BE"/>
                              </w:rPr>
                              <w:t>13</w:t>
                            </w:r>
                          </w:p>
                        </w:tc>
                        <w:tc>
                          <w:tcPr>
                            <w:tcW w:w="93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b/>
                                <w:bCs/>
                                <w:color w:val="FFFFFF" w:themeColor="light1"/>
                                <w:kern w:val="24"/>
                                <w:sz w:val="32"/>
                                <w:szCs w:val="32"/>
                                <w:lang w:val="nl-BE" w:eastAsia="nl-BE"/>
                              </w:rPr>
                              <w:t>14</w:t>
                            </w:r>
                          </w:p>
                        </w:tc>
                        <w:tc>
                          <w:tcPr>
                            <w:tcW w:w="97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b/>
                                <w:bCs/>
                                <w:color w:val="FFFFFF" w:themeColor="light1"/>
                                <w:kern w:val="24"/>
                                <w:sz w:val="32"/>
                                <w:szCs w:val="32"/>
                                <w:lang w:val="nl-BE" w:eastAsia="nl-BE"/>
                              </w:rPr>
                              <w:t>15</w:t>
                            </w:r>
                          </w:p>
                        </w:tc>
                        <w:tc>
                          <w:tcPr>
                            <w:tcW w:w="89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b/>
                                <w:bCs/>
                                <w:color w:val="FFFFFF" w:themeColor="light1"/>
                                <w:kern w:val="24"/>
                                <w:sz w:val="32"/>
                                <w:szCs w:val="32"/>
                                <w:lang w:val="nl-BE" w:eastAsia="nl-BE"/>
                              </w:rPr>
                              <w:t>16</w:t>
                            </w:r>
                          </w:p>
                        </w:tc>
                        <w:tc>
                          <w:tcPr>
                            <w:tcW w:w="89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b/>
                                <w:bCs/>
                                <w:color w:val="FFFFFF" w:themeColor="light1"/>
                                <w:kern w:val="24"/>
                                <w:sz w:val="32"/>
                                <w:szCs w:val="32"/>
                                <w:lang w:val="nl-BE" w:eastAsia="nl-BE"/>
                              </w:rPr>
                              <w:t>17</w:t>
                            </w:r>
                          </w:p>
                        </w:tc>
                        <w:tc>
                          <w:tcPr>
                            <w:tcW w:w="85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b/>
                                <w:bCs/>
                                <w:color w:val="FFFFFF" w:themeColor="light1"/>
                                <w:kern w:val="24"/>
                                <w:sz w:val="32"/>
                                <w:szCs w:val="32"/>
                                <w:lang w:val="nl-BE" w:eastAsia="nl-BE"/>
                              </w:rPr>
                              <w:t>18</w:t>
                            </w:r>
                          </w:p>
                        </w:tc>
                        <w:tc>
                          <w:tcPr>
                            <w:tcW w:w="91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b/>
                                <w:bCs/>
                                <w:color w:val="FFFFFF" w:themeColor="light1"/>
                                <w:kern w:val="24"/>
                                <w:sz w:val="32"/>
                                <w:szCs w:val="32"/>
                                <w:lang w:val="nl-BE" w:eastAsia="nl-BE"/>
                              </w:rPr>
                              <w:t>19</w:t>
                            </w:r>
                          </w:p>
                        </w:tc>
                        <w:tc>
                          <w:tcPr>
                            <w:tcW w:w="81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b/>
                                <w:bCs/>
                                <w:color w:val="FFFFFF" w:themeColor="light1"/>
                                <w:kern w:val="24"/>
                                <w:sz w:val="32"/>
                                <w:szCs w:val="32"/>
                                <w:lang w:val="nl-BE" w:eastAsia="nl-BE"/>
                              </w:rPr>
                              <w:t>20</w:t>
                            </w:r>
                          </w:p>
                        </w:tc>
                      </w:tr>
                      <w:tr w:rsidR="00200B61" w:rsidRPr="002E258A" w:rsidTr="002E258A">
                        <w:trPr>
                          <w:trHeight w:val="660"/>
                        </w:trPr>
                        <w:tc>
                          <w:tcPr>
                            <w:tcW w:w="958" w:type="dxa"/>
                            <w:tcBorders>
                              <w:top w:val="single" w:sz="24"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000000" w:themeColor="dark1"/>
                                <w:kern w:val="24"/>
                                <w:sz w:val="24"/>
                                <w:szCs w:val="24"/>
                                <w:lang w:val="nl-BE" w:eastAsia="nl-BE"/>
                              </w:rPr>
                              <w:t>34.79%</w:t>
                            </w:r>
                          </w:p>
                        </w:tc>
                        <w:tc>
                          <w:tcPr>
                            <w:tcW w:w="95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18.59%</w:t>
                            </w:r>
                          </w:p>
                        </w:tc>
                        <w:tc>
                          <w:tcPr>
                            <w:tcW w:w="93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18.45%</w:t>
                            </w:r>
                          </w:p>
                        </w:tc>
                        <w:tc>
                          <w:tcPr>
                            <w:tcW w:w="103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12.05%</w:t>
                            </w:r>
                          </w:p>
                        </w:tc>
                        <w:tc>
                          <w:tcPr>
                            <w:tcW w:w="93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9.46%</w:t>
                            </w:r>
                          </w:p>
                        </w:tc>
                        <w:tc>
                          <w:tcPr>
                            <w:tcW w:w="97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3.65%</w:t>
                            </w:r>
                          </w:p>
                        </w:tc>
                        <w:tc>
                          <w:tcPr>
                            <w:tcW w:w="89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2.30%</w:t>
                            </w:r>
                          </w:p>
                        </w:tc>
                        <w:tc>
                          <w:tcPr>
                            <w:tcW w:w="89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0.43%</w:t>
                            </w:r>
                          </w:p>
                        </w:tc>
                        <w:tc>
                          <w:tcPr>
                            <w:tcW w:w="85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0.22%</w:t>
                            </w:r>
                          </w:p>
                        </w:tc>
                        <w:tc>
                          <w:tcPr>
                            <w:tcW w:w="91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0.06%</w:t>
                            </w:r>
                          </w:p>
                        </w:tc>
                        <w:tc>
                          <w:tcPr>
                            <w:tcW w:w="81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0%</w:t>
                            </w:r>
                          </w:p>
                        </w:tc>
                      </w:tr>
                      <w:tr w:rsidR="00200B61" w:rsidRPr="002E258A" w:rsidTr="002E258A">
                        <w:trPr>
                          <w:trHeight w:val="345"/>
                        </w:trPr>
                        <w:tc>
                          <w:tcPr>
                            <w:tcW w:w="958"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eastAsiaTheme="minorEastAsia" w:hAnsi="Calibri"/>
                                <w:b/>
                                <w:bCs/>
                                <w:color w:val="C00000"/>
                                <w:kern w:val="24"/>
                                <w:sz w:val="24"/>
                                <w:szCs w:val="24"/>
                                <w:lang w:val="nl-BE" w:eastAsia="nl-BE"/>
                              </w:rPr>
                              <w:t>100</w:t>
                            </w:r>
                          </w:p>
                        </w:tc>
                        <w:tc>
                          <w:tcPr>
                            <w:tcW w:w="9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65,21</w:t>
                            </w:r>
                          </w:p>
                        </w:tc>
                        <w:tc>
                          <w:tcPr>
                            <w:tcW w:w="9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46,62</w:t>
                            </w:r>
                          </w:p>
                        </w:tc>
                        <w:tc>
                          <w:tcPr>
                            <w:tcW w:w="10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28,17</w:t>
                            </w:r>
                          </w:p>
                        </w:tc>
                        <w:tc>
                          <w:tcPr>
                            <w:tcW w:w="9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16,12</w:t>
                            </w:r>
                          </w:p>
                        </w:tc>
                        <w:tc>
                          <w:tcPr>
                            <w:tcW w:w="97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6,66</w:t>
                            </w:r>
                          </w:p>
                        </w:tc>
                        <w:tc>
                          <w:tcPr>
                            <w:tcW w:w="89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3,01</w:t>
                            </w:r>
                          </w:p>
                        </w:tc>
                        <w:tc>
                          <w:tcPr>
                            <w:tcW w:w="89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0,71</w:t>
                            </w:r>
                          </w:p>
                        </w:tc>
                        <w:tc>
                          <w:tcPr>
                            <w:tcW w:w="8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0,28</w:t>
                            </w:r>
                          </w:p>
                        </w:tc>
                        <w:tc>
                          <w:tcPr>
                            <w:tcW w:w="9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0,06</w:t>
                            </w:r>
                          </w:p>
                        </w:tc>
                        <w:tc>
                          <w:tcPr>
                            <w:tcW w:w="8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0</w:t>
                            </w:r>
                          </w:p>
                        </w:tc>
                      </w:tr>
                    </w:tbl>
                    <w:p w:rsidR="00200B61" w:rsidRDefault="00200B61" w:rsidP="002E258A">
                      <w:pPr>
                        <w:pStyle w:val="Normaalweb"/>
                        <w:spacing w:before="0" w:beforeAutospacing="0" w:after="0" w:afterAutospacing="0"/>
                        <w:textAlignment w:val="baseline"/>
                        <w:rPr>
                          <w:rFonts w:ascii="Calibri" w:hAnsi="Calibri" w:cstheme="minorBidi"/>
                          <w:color w:val="000000" w:themeColor="text1"/>
                          <w:kern w:val="24"/>
                          <w:lang w:val="en-GB"/>
                        </w:rPr>
                      </w:pPr>
                    </w:p>
                    <w:p w:rsidR="00200B61" w:rsidRPr="005733F3" w:rsidRDefault="00200B61" w:rsidP="002E258A">
                      <w:pPr>
                        <w:pStyle w:val="Normaalweb"/>
                        <w:spacing w:before="0" w:beforeAutospacing="0" w:after="0" w:afterAutospacing="0"/>
                        <w:textAlignment w:val="baseline"/>
                        <w:rPr>
                          <w:lang w:val="en-US"/>
                        </w:rPr>
                      </w:pPr>
                      <w:r>
                        <w:rPr>
                          <w:rFonts w:ascii="Calibri" w:hAnsi="Calibri" w:cstheme="minorBidi"/>
                          <w:color w:val="C00000"/>
                          <w:kern w:val="24"/>
                          <w:sz w:val="28"/>
                          <w:szCs w:val="28"/>
                          <w:lang w:val="en-GB"/>
                        </w:rPr>
                        <w:t>*Accumulated percentage in red</w:t>
                      </w:r>
                    </w:p>
                  </w:txbxContent>
                </v:textbox>
              </v:shape>
            </w:pict>
          </mc:Fallback>
        </mc:AlternateContent>
      </w:r>
    </w:p>
    <w:p w:rsidR="00CF6E80" w:rsidRDefault="00CF6E80" w:rsidP="009F4BA6">
      <w:pPr>
        <w:jc w:val="both"/>
        <w:rPr>
          <w:rFonts w:ascii="Times New Roman" w:hAnsi="Times New Roman" w:cs="Times New Roman"/>
          <w:sz w:val="24"/>
          <w:szCs w:val="24"/>
          <w:lang w:val="en-GB"/>
        </w:rPr>
      </w:pPr>
    </w:p>
    <w:p w:rsidR="00CF6E80" w:rsidRDefault="00CF6E80" w:rsidP="009F4BA6">
      <w:pPr>
        <w:jc w:val="both"/>
        <w:rPr>
          <w:rFonts w:ascii="Times New Roman" w:hAnsi="Times New Roman" w:cs="Times New Roman"/>
          <w:sz w:val="24"/>
          <w:szCs w:val="24"/>
          <w:lang w:val="en-GB"/>
        </w:rPr>
      </w:pPr>
    </w:p>
    <w:p w:rsidR="00CF6E80" w:rsidRPr="009F4BA6" w:rsidRDefault="00931F42" w:rsidP="009F4BA6">
      <w:pPr>
        <w:jc w:val="both"/>
        <w:rPr>
          <w:rFonts w:ascii="Times New Roman" w:hAnsi="Times New Roman" w:cs="Times New Roman"/>
          <w:sz w:val="24"/>
          <w:szCs w:val="24"/>
          <w:lang w:val="en-GB"/>
        </w:rPr>
      </w:pPr>
      <w:r>
        <w:rPr>
          <w:rFonts w:ascii="Times New Roman" w:hAnsi="Times New Roman" w:cs="Times New Roman"/>
          <w:noProof/>
          <w:sz w:val="24"/>
          <w:szCs w:val="24"/>
          <w:lang w:val="nl-BE" w:eastAsia="nl-BE"/>
        </w:rPr>
        <mc:AlternateContent>
          <mc:Choice Requires="wps">
            <w:drawing>
              <wp:anchor distT="0" distB="0" distL="114300" distR="114300" simplePos="0" relativeHeight="251660288" behindDoc="0" locked="0" layoutInCell="1" allowOverlap="1" wp14:anchorId="1EFBEE25" wp14:editId="41EBBD3C">
                <wp:simplePos x="0" y="0"/>
                <wp:positionH relativeFrom="column">
                  <wp:posOffset>3975735</wp:posOffset>
                </wp:positionH>
                <wp:positionV relativeFrom="paragraph">
                  <wp:posOffset>278765</wp:posOffset>
                </wp:positionV>
                <wp:extent cx="590550" cy="847725"/>
                <wp:effectExtent l="0" t="0" r="19050" b="28575"/>
                <wp:wrapNone/>
                <wp:docPr id="2" name="Ovaal 2"/>
                <wp:cNvGraphicFramePr/>
                <a:graphic xmlns:a="http://schemas.openxmlformats.org/drawingml/2006/main">
                  <a:graphicData uri="http://schemas.microsoft.com/office/word/2010/wordprocessingShape">
                    <wps:wsp>
                      <wps:cNvSpPr/>
                      <wps:spPr>
                        <a:xfrm>
                          <a:off x="0" y="0"/>
                          <a:ext cx="590550" cy="847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12574A" id="Ovaal 2" o:spid="_x0000_s1026" style="position:absolute;margin-left:313.05pt;margin-top:21.95pt;width:46.5pt;height:6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" filled="f" strokecolor="#243f60 [1604]" strokeweight="2pt"/>
            </w:pict>
          </mc:Fallback>
        </mc:AlternateContent>
      </w:r>
    </w:p>
    <w:p w:rsidR="00D17B5F" w:rsidRDefault="00D17B5F" w:rsidP="00AC210F">
      <w:pPr>
        <w:jc w:val="both"/>
        <w:rPr>
          <w:rFonts w:ascii="Times New Roman" w:hAnsi="Times New Roman" w:cs="Times New Roman"/>
          <w:i/>
          <w:szCs w:val="32"/>
          <w:lang w:val="en-GB"/>
        </w:rPr>
      </w:pPr>
    </w:p>
    <w:p w:rsidR="00D17B5F" w:rsidRDefault="00931F42" w:rsidP="00AC210F">
      <w:pPr>
        <w:jc w:val="both"/>
        <w:rPr>
          <w:rFonts w:ascii="Times New Roman" w:hAnsi="Times New Roman" w:cs="Times New Roman"/>
          <w:i/>
          <w:szCs w:val="32"/>
          <w:lang w:val="en-GB"/>
        </w:rPr>
      </w:pPr>
      <w:r>
        <w:rPr>
          <w:rFonts w:ascii="Times New Roman" w:hAnsi="Times New Roman" w:cs="Times New Roman"/>
          <w:i/>
          <w:noProof/>
          <w:szCs w:val="32"/>
          <w:lang w:val="nl-BE" w:eastAsia="nl-BE"/>
        </w:rPr>
        <mc:AlternateContent>
          <mc:Choice Requires="wps">
            <w:drawing>
              <wp:anchor distT="0" distB="0" distL="114300" distR="114300" simplePos="0" relativeHeight="251662336" behindDoc="0" locked="0" layoutInCell="1" allowOverlap="1" wp14:anchorId="0BC77EB1" wp14:editId="7F54023F">
                <wp:simplePos x="0" y="0"/>
                <wp:positionH relativeFrom="column">
                  <wp:posOffset>1889760</wp:posOffset>
                </wp:positionH>
                <wp:positionV relativeFrom="paragraph">
                  <wp:posOffset>207644</wp:posOffset>
                </wp:positionV>
                <wp:extent cx="2085975" cy="1171575"/>
                <wp:effectExtent l="0" t="0" r="28575" b="28575"/>
                <wp:wrapNone/>
                <wp:docPr id="8" name="Rechte verbindingslijn 8"/>
                <wp:cNvGraphicFramePr/>
                <a:graphic xmlns:a="http://schemas.openxmlformats.org/drawingml/2006/main">
                  <a:graphicData uri="http://schemas.microsoft.com/office/word/2010/wordprocessingShape">
                    <wps:wsp>
                      <wps:cNvCnPr/>
                      <wps:spPr>
                        <a:xfrm flipH="1">
                          <a:off x="0" y="0"/>
                          <a:ext cx="2085975" cy="1171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EE0A1F" id="Rechte verbindingslijn 8"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148.8pt,16.35pt" to="313.05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" strokecolor="#4579b8 [3044]"/>
            </w:pict>
          </mc:Fallback>
        </mc:AlternateContent>
      </w:r>
    </w:p>
    <w:p w:rsidR="00D17B5F" w:rsidRDefault="00D17B5F" w:rsidP="00AC210F">
      <w:pPr>
        <w:jc w:val="both"/>
        <w:rPr>
          <w:rFonts w:ascii="Times New Roman" w:hAnsi="Times New Roman" w:cs="Times New Roman"/>
          <w:i/>
          <w:szCs w:val="32"/>
          <w:lang w:val="en-GB"/>
        </w:rPr>
      </w:pPr>
    </w:p>
    <w:p w:rsidR="002E258A" w:rsidRDefault="002E258A" w:rsidP="00AC210F">
      <w:pPr>
        <w:jc w:val="both"/>
        <w:rPr>
          <w:rFonts w:ascii="Times New Roman" w:hAnsi="Times New Roman" w:cs="Times New Roman"/>
          <w:i/>
          <w:szCs w:val="32"/>
          <w:lang w:val="en-GB"/>
        </w:rPr>
      </w:pPr>
    </w:p>
    <w:p w:rsidR="002E258A" w:rsidRDefault="00931F42" w:rsidP="00AC210F">
      <w:pPr>
        <w:jc w:val="both"/>
        <w:rPr>
          <w:rFonts w:ascii="Times New Roman" w:hAnsi="Times New Roman" w:cs="Times New Roman"/>
          <w:i/>
          <w:szCs w:val="32"/>
          <w:lang w:val="en-GB"/>
        </w:rPr>
      </w:pPr>
      <w:r>
        <w:rPr>
          <w:rFonts w:ascii="Times New Roman" w:hAnsi="Times New Roman" w:cs="Times New Roman"/>
          <w:i/>
          <w:noProof/>
          <w:szCs w:val="32"/>
          <w:lang w:val="nl-BE" w:eastAsia="nl-BE"/>
        </w:rPr>
        <mc:AlternateContent>
          <mc:Choice Requires="wps">
            <w:drawing>
              <wp:anchor distT="0" distB="0" distL="114300" distR="114300" simplePos="0" relativeHeight="251661312" behindDoc="0" locked="0" layoutInCell="1" allowOverlap="1" wp14:anchorId="54E722B2" wp14:editId="422AF196">
                <wp:simplePos x="0" y="0"/>
                <wp:positionH relativeFrom="column">
                  <wp:posOffset>1289685</wp:posOffset>
                </wp:positionH>
                <wp:positionV relativeFrom="paragraph">
                  <wp:posOffset>16510</wp:posOffset>
                </wp:positionV>
                <wp:extent cx="600075" cy="866775"/>
                <wp:effectExtent l="0" t="0" r="28575" b="28575"/>
                <wp:wrapNone/>
                <wp:docPr id="7" name="Ovaal 7"/>
                <wp:cNvGraphicFramePr/>
                <a:graphic xmlns:a="http://schemas.openxmlformats.org/drawingml/2006/main">
                  <a:graphicData uri="http://schemas.microsoft.com/office/word/2010/wordprocessingShape">
                    <wps:wsp>
                      <wps:cNvSpPr/>
                      <wps:spPr>
                        <a:xfrm>
                          <a:off x="0" y="0"/>
                          <a:ext cx="600075" cy="8667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232F24" id="Ovaal 7" o:spid="_x0000_s1026" style="position:absolute;margin-left:101.55pt;margin-top:1.3pt;width:47.25pt;height:6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" filled="f" strokecolor="#243f60 [1604]" strokeweight="2pt"/>
            </w:pict>
          </mc:Fallback>
        </mc:AlternateContent>
      </w:r>
    </w:p>
    <w:p w:rsidR="002E258A" w:rsidRDefault="002E258A" w:rsidP="00AC210F">
      <w:pPr>
        <w:jc w:val="both"/>
        <w:rPr>
          <w:rFonts w:ascii="Times New Roman" w:hAnsi="Times New Roman" w:cs="Times New Roman"/>
          <w:i/>
          <w:szCs w:val="32"/>
          <w:lang w:val="en-GB"/>
        </w:rPr>
      </w:pPr>
    </w:p>
    <w:p w:rsidR="002E258A" w:rsidRDefault="002E258A" w:rsidP="00AC210F">
      <w:pPr>
        <w:jc w:val="both"/>
        <w:rPr>
          <w:rFonts w:ascii="Times New Roman" w:hAnsi="Times New Roman" w:cs="Times New Roman"/>
          <w:i/>
          <w:szCs w:val="32"/>
          <w:lang w:val="en-GB"/>
        </w:rPr>
      </w:pPr>
    </w:p>
    <w:p w:rsidR="002E258A" w:rsidRDefault="002E258A" w:rsidP="00AC210F">
      <w:pPr>
        <w:jc w:val="both"/>
        <w:rPr>
          <w:rFonts w:ascii="Times New Roman" w:hAnsi="Times New Roman" w:cs="Times New Roman"/>
          <w:i/>
          <w:szCs w:val="32"/>
          <w:lang w:val="en-GB"/>
        </w:rPr>
      </w:pPr>
    </w:p>
    <w:p w:rsidR="00931F42" w:rsidRPr="00931F42" w:rsidRDefault="00931F42" w:rsidP="00AC210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With a mark of 27 the student in Italy belongs to the top 46% of his reference group. If we look at the grades of the corresponding top 46% in France, we arrive at a converted grade of 12. </w:t>
      </w:r>
    </w:p>
    <w:p w:rsidR="00F56046" w:rsidRDefault="003D751A" w:rsidP="00AD70DE">
      <w:pPr>
        <w:jc w:val="both"/>
        <w:rPr>
          <w:rFonts w:ascii="Times New Roman" w:hAnsi="Times New Roman" w:cs="Times New Roman"/>
          <w:b/>
          <w:sz w:val="32"/>
          <w:szCs w:val="32"/>
          <w:u w:val="single"/>
          <w:lang w:val="en-GB"/>
        </w:rPr>
      </w:pPr>
      <w:r>
        <w:rPr>
          <w:rFonts w:ascii="Times New Roman" w:hAnsi="Times New Roman" w:cs="Times New Roman"/>
          <w:b/>
          <w:sz w:val="32"/>
          <w:szCs w:val="32"/>
          <w:u w:val="single"/>
          <w:lang w:val="en-GB"/>
        </w:rPr>
        <w:t>How will conversion be illustrated in the Egracons conversion tool?</w:t>
      </w:r>
    </w:p>
    <w:p w:rsidR="003D751A" w:rsidRDefault="003D751A" w:rsidP="00AD70DE">
      <w:pPr>
        <w:jc w:val="both"/>
        <w:rPr>
          <w:rFonts w:ascii="Times New Roman" w:hAnsi="Times New Roman" w:cs="Times New Roman"/>
          <w:b/>
          <w:sz w:val="32"/>
          <w:szCs w:val="32"/>
          <w:u w:val="single"/>
          <w:lang w:val="en-GB"/>
        </w:rPr>
      </w:pPr>
      <w:r>
        <w:rPr>
          <w:rFonts w:ascii="Times New Roman" w:hAnsi="Times New Roman" w:cs="Times New Roman"/>
          <w:b/>
          <w:noProof/>
          <w:sz w:val="32"/>
          <w:szCs w:val="32"/>
          <w:u w:val="single"/>
          <w:lang w:val="nl-BE" w:eastAsia="nl-BE"/>
        </w:rPr>
        <w:drawing>
          <wp:inline distT="0" distB="0" distL="0" distR="0" wp14:anchorId="2C858540" wp14:editId="1955B428">
            <wp:extent cx="6772275" cy="3088911"/>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e conversion.JPG"/>
                    <pic:cNvPicPr/>
                  </pic:nvPicPr>
                  <pic:blipFill>
                    <a:blip r:embed="rId17">
                      <a:extLst>
                        <a:ext uri="{28A0092B-C50C-407E-A947-70E740481C1C}">
                          <a14:useLocalDpi xmlns:a14="http://schemas.microsoft.com/office/drawing/2010/main" val="0"/>
                        </a:ext>
                      </a:extLst>
                    </a:blip>
                    <a:stretch>
                      <a:fillRect/>
                    </a:stretch>
                  </pic:blipFill>
                  <pic:spPr>
                    <a:xfrm>
                      <a:off x="0" y="0"/>
                      <a:ext cx="6767518" cy="3086741"/>
                    </a:xfrm>
                    <a:prstGeom prst="rect">
                      <a:avLst/>
                    </a:prstGeom>
                  </pic:spPr>
                </pic:pic>
              </a:graphicData>
            </a:graphic>
          </wp:inline>
        </w:drawing>
      </w:r>
    </w:p>
    <w:p w:rsidR="003D751A" w:rsidRDefault="003D751A" w:rsidP="00AD70DE">
      <w:pPr>
        <w:jc w:val="both"/>
        <w:rPr>
          <w:rFonts w:ascii="Times New Roman" w:hAnsi="Times New Roman" w:cs="Times New Roman"/>
          <w:b/>
          <w:sz w:val="32"/>
          <w:szCs w:val="32"/>
          <w:u w:val="single"/>
          <w:lang w:val="en-GB"/>
        </w:rPr>
      </w:pPr>
    </w:p>
    <w:p w:rsidR="00AD70DE" w:rsidRPr="00AD70DE" w:rsidRDefault="00AD70DE" w:rsidP="00AD70DE">
      <w:pPr>
        <w:jc w:val="both"/>
        <w:rPr>
          <w:rFonts w:ascii="Times New Roman" w:hAnsi="Times New Roman" w:cs="Times New Roman"/>
          <w:b/>
          <w:sz w:val="32"/>
          <w:szCs w:val="32"/>
          <w:u w:val="single"/>
          <w:lang w:val="en-GB"/>
        </w:rPr>
      </w:pPr>
      <w:r w:rsidRPr="00AD70DE">
        <w:rPr>
          <w:rFonts w:ascii="Times New Roman" w:hAnsi="Times New Roman" w:cs="Times New Roman"/>
          <w:b/>
          <w:sz w:val="32"/>
          <w:szCs w:val="32"/>
          <w:u w:val="single"/>
          <w:lang w:val="en-GB"/>
        </w:rPr>
        <w:lastRenderedPageBreak/>
        <w:t>Graphic representation of grading tables</w:t>
      </w:r>
    </w:p>
    <w:p w:rsidR="00AD70DE" w:rsidRDefault="00AD70DE" w:rsidP="00AD70DE">
      <w:pPr>
        <w:jc w:val="both"/>
        <w:rPr>
          <w:rFonts w:ascii="Times New Roman" w:hAnsi="Times New Roman" w:cs="Times New Roman"/>
          <w:sz w:val="24"/>
          <w:szCs w:val="24"/>
          <w:lang w:val="en-GB"/>
        </w:rPr>
      </w:pPr>
      <w:r w:rsidRPr="00AD70DE">
        <w:rPr>
          <w:rFonts w:ascii="Times New Roman" w:hAnsi="Times New Roman" w:cs="Times New Roman"/>
          <w:sz w:val="24"/>
          <w:szCs w:val="24"/>
          <w:lang w:val="en-GB"/>
        </w:rPr>
        <w:t>Grading tables can be represented as frequency tables (see above) but also graphically. When doing so, institutions are invited to represent the grades on the horizontal axis and the percentages on the vertical axis. The following is an example.</w:t>
      </w:r>
      <w:r w:rsidR="0093061B">
        <w:rPr>
          <w:rFonts w:ascii="Times New Roman" w:hAnsi="Times New Roman" w:cs="Times New Roman"/>
          <w:sz w:val="24"/>
          <w:szCs w:val="24"/>
          <w:lang w:val="en-GB"/>
        </w:rPr>
        <w:t xml:space="preserve"> The graph does not show the accumulated frequency.</w:t>
      </w:r>
    </w:p>
    <w:p w:rsidR="00AD70DE" w:rsidRPr="0010749B" w:rsidRDefault="00AD70DE" w:rsidP="00AD70DE">
      <w:pPr>
        <w:jc w:val="both"/>
        <w:rPr>
          <w:rFonts w:ascii="Times New Roman" w:hAnsi="Times New Roman" w:cs="Times New Roman"/>
          <w:b/>
          <w:sz w:val="24"/>
          <w:szCs w:val="24"/>
          <w:lang w:val="en-GB"/>
        </w:rPr>
      </w:pPr>
      <w:r w:rsidRPr="0010749B">
        <w:rPr>
          <w:b/>
          <w:noProof/>
          <w:lang w:val="nl-BE" w:eastAsia="nl-BE"/>
        </w:rPr>
        <w:drawing>
          <wp:inline distT="0" distB="0" distL="0" distR="0" wp14:anchorId="7C585165" wp14:editId="633794B0">
            <wp:extent cx="5972810" cy="2103755"/>
            <wp:effectExtent l="0" t="0" r="27940" b="10795"/>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56046" w:rsidRDefault="00F56046" w:rsidP="00AD70DE">
      <w:pPr>
        <w:jc w:val="both"/>
        <w:rPr>
          <w:rFonts w:ascii="Times New Roman" w:hAnsi="Times New Roman" w:cs="Times New Roman"/>
          <w:sz w:val="24"/>
          <w:szCs w:val="24"/>
          <w:lang w:val="en-GB"/>
        </w:rPr>
      </w:pPr>
    </w:p>
    <w:p w:rsidR="00AD70DE" w:rsidRPr="009D6E54" w:rsidRDefault="00AD70DE" w:rsidP="00AD70DE">
      <w:pPr>
        <w:jc w:val="both"/>
        <w:rPr>
          <w:rFonts w:ascii="Times New Roman" w:hAnsi="Times New Roman" w:cs="Times New Roman"/>
          <w:sz w:val="24"/>
          <w:szCs w:val="24"/>
          <w:lang w:val="en-GB"/>
        </w:rPr>
      </w:pPr>
      <w:r w:rsidRPr="009D6E54">
        <w:rPr>
          <w:rFonts w:ascii="Times New Roman" w:hAnsi="Times New Roman" w:cs="Times New Roman"/>
          <w:sz w:val="24"/>
          <w:szCs w:val="24"/>
          <w:lang w:val="en-GB"/>
        </w:rPr>
        <w:t xml:space="preserve">Another visual representation (probably clearer) is the following: </w:t>
      </w:r>
    </w:p>
    <w:p w:rsidR="009D6E54" w:rsidRPr="0010749B" w:rsidRDefault="009D6E54" w:rsidP="00AD70DE">
      <w:pPr>
        <w:jc w:val="both"/>
        <w:rPr>
          <w:rFonts w:ascii="Times New Roman" w:hAnsi="Times New Roman" w:cs="Times New Roman"/>
          <w:b/>
          <w:sz w:val="24"/>
          <w:szCs w:val="24"/>
          <w:lang w:val="en-GB"/>
        </w:rPr>
      </w:pPr>
    </w:p>
    <w:p w:rsidR="00827A99" w:rsidRDefault="00827A99" w:rsidP="00827A99">
      <w:pPr>
        <w:jc w:val="both"/>
        <w:rPr>
          <w:rFonts w:ascii="Times New Roman" w:hAnsi="Times New Roman" w:cs="Times New Roman"/>
          <w:b/>
          <w:sz w:val="24"/>
          <w:szCs w:val="24"/>
          <w:lang w:val="en-GB"/>
        </w:rPr>
      </w:pPr>
      <w:r w:rsidRPr="00827A99">
        <w:rPr>
          <w:rFonts w:ascii="Times New Roman" w:hAnsi="Times New Roman" w:cs="Times New Roman"/>
          <w:b/>
          <w:noProof/>
          <w:sz w:val="24"/>
          <w:szCs w:val="24"/>
          <w:lang w:val="nl-BE" w:eastAsia="nl-BE"/>
        </w:rPr>
        <mc:AlternateContent>
          <mc:Choice Requires="wps">
            <w:drawing>
              <wp:anchor distT="0" distB="0" distL="114300" distR="114300" simplePos="0" relativeHeight="251664384" behindDoc="0" locked="0" layoutInCell="1" allowOverlap="1" wp14:anchorId="1B95909C" wp14:editId="53D960DA">
                <wp:simplePos x="0" y="0"/>
                <wp:positionH relativeFrom="column">
                  <wp:posOffset>2080260</wp:posOffset>
                </wp:positionH>
                <wp:positionV relativeFrom="paragraph">
                  <wp:posOffset>1052195</wp:posOffset>
                </wp:positionV>
                <wp:extent cx="3067050" cy="342900"/>
                <wp:effectExtent l="0" t="0" r="19050" b="190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42900"/>
                        </a:xfrm>
                        <a:prstGeom prst="rect">
                          <a:avLst/>
                        </a:prstGeom>
                        <a:solidFill>
                          <a:srgbClr val="FFFFFF"/>
                        </a:solidFill>
                        <a:ln w="9525">
                          <a:solidFill>
                            <a:srgbClr val="000000"/>
                          </a:solidFill>
                          <a:miter lim="800000"/>
                          <a:headEnd/>
                          <a:tailEnd/>
                        </a:ln>
                      </wps:spPr>
                      <wps:txbx>
                        <w:txbxContent>
                          <w:p w:rsidR="00077CC1" w:rsidRDefault="00077C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5909C" id="Tekstvak 2" o:spid="_x0000_s1027" type="#_x0000_t202" style="position:absolute;left:0;text-align:left;margin-left:163.8pt;margin-top:82.85pt;width:241.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">
                <v:textbox>
                  <w:txbxContent>
                    <w:p w:rsidR="00077CC1" w:rsidRDefault="00077CC1"/>
                  </w:txbxContent>
                </v:textbox>
              </v:shape>
            </w:pict>
          </mc:Fallback>
        </mc:AlternateContent>
      </w:r>
      <w:r>
        <w:rPr>
          <w:noProof/>
          <w:lang w:val="nl-BE" w:eastAsia="nl-BE"/>
        </w:rPr>
        <w:drawing>
          <wp:inline distT="0" distB="0" distL="0" distR="0" wp14:anchorId="7CB8B327" wp14:editId="54BDD75A">
            <wp:extent cx="5895975" cy="1781175"/>
            <wp:effectExtent l="0" t="0" r="9525" b="9525"/>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D6E54" w:rsidRPr="009D6E54" w:rsidRDefault="009D6E54" w:rsidP="009D6E54">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 </w:t>
      </w:r>
      <w:r w:rsidRPr="009D6E54">
        <w:rPr>
          <w:rFonts w:ascii="Times New Roman" w:hAnsi="Times New Roman" w:cs="Times New Roman"/>
          <w:sz w:val="24"/>
          <w:szCs w:val="24"/>
          <w:lang w:val="en-GB"/>
        </w:rPr>
        <w:t>Accumulated frequency</w:t>
      </w:r>
    </w:p>
    <w:p w:rsidR="00F56046" w:rsidRDefault="00F56046" w:rsidP="00827A99">
      <w:pPr>
        <w:jc w:val="both"/>
        <w:rPr>
          <w:rFonts w:ascii="Times New Roman" w:hAnsi="Times New Roman" w:cs="Times New Roman"/>
          <w:sz w:val="24"/>
          <w:szCs w:val="24"/>
          <w:lang w:val="en-GB"/>
        </w:rPr>
      </w:pPr>
    </w:p>
    <w:p w:rsidR="00E0391D" w:rsidRDefault="00E0391D" w:rsidP="00827A99">
      <w:pPr>
        <w:jc w:val="both"/>
        <w:rPr>
          <w:rFonts w:ascii="Times New Roman" w:hAnsi="Times New Roman" w:cs="Times New Roman"/>
          <w:sz w:val="24"/>
          <w:szCs w:val="24"/>
          <w:lang w:val="en-GB"/>
        </w:rPr>
      </w:pPr>
    </w:p>
    <w:p w:rsidR="00E0391D" w:rsidRDefault="00E0391D" w:rsidP="00827A99">
      <w:pPr>
        <w:jc w:val="both"/>
        <w:rPr>
          <w:rFonts w:ascii="Times New Roman" w:hAnsi="Times New Roman" w:cs="Times New Roman"/>
          <w:sz w:val="24"/>
          <w:szCs w:val="24"/>
          <w:lang w:val="en-GB"/>
        </w:rPr>
      </w:pPr>
    </w:p>
    <w:p w:rsidR="00E0391D" w:rsidRDefault="00E0391D" w:rsidP="00827A99">
      <w:pPr>
        <w:jc w:val="both"/>
        <w:rPr>
          <w:rFonts w:ascii="Times New Roman" w:hAnsi="Times New Roman" w:cs="Times New Roman"/>
          <w:sz w:val="24"/>
          <w:szCs w:val="24"/>
          <w:lang w:val="en-GB"/>
        </w:rPr>
      </w:pPr>
    </w:p>
    <w:p w:rsidR="00E0391D" w:rsidRDefault="00E0391D" w:rsidP="00827A99">
      <w:pPr>
        <w:jc w:val="both"/>
        <w:rPr>
          <w:rFonts w:ascii="Times New Roman" w:hAnsi="Times New Roman" w:cs="Times New Roman"/>
          <w:sz w:val="24"/>
          <w:szCs w:val="24"/>
          <w:lang w:val="en-GB"/>
        </w:rPr>
      </w:pPr>
    </w:p>
    <w:p w:rsidR="00E0391D" w:rsidRDefault="00E0391D" w:rsidP="00827A99">
      <w:pPr>
        <w:jc w:val="both"/>
        <w:rPr>
          <w:rFonts w:ascii="Times New Roman" w:hAnsi="Times New Roman" w:cs="Times New Roman"/>
          <w:sz w:val="24"/>
          <w:szCs w:val="24"/>
          <w:lang w:val="en-GB"/>
        </w:rPr>
      </w:pPr>
    </w:p>
    <w:p w:rsidR="00E0391D" w:rsidRDefault="00E0391D" w:rsidP="00827A99">
      <w:pPr>
        <w:jc w:val="both"/>
        <w:rPr>
          <w:rFonts w:ascii="Times New Roman" w:hAnsi="Times New Roman" w:cs="Times New Roman"/>
          <w:sz w:val="24"/>
          <w:szCs w:val="24"/>
          <w:lang w:val="en-GB"/>
        </w:rPr>
      </w:pPr>
    </w:p>
    <w:p w:rsidR="00827A99" w:rsidRDefault="00827A99" w:rsidP="00827A99">
      <w:pPr>
        <w:jc w:val="both"/>
        <w:rPr>
          <w:rFonts w:ascii="Times New Roman" w:hAnsi="Times New Roman" w:cs="Times New Roman"/>
          <w:sz w:val="24"/>
          <w:szCs w:val="24"/>
          <w:lang w:val="en-GB"/>
        </w:rPr>
      </w:pPr>
      <w:r w:rsidRPr="009D6E54">
        <w:rPr>
          <w:rFonts w:ascii="Times New Roman" w:hAnsi="Times New Roman" w:cs="Times New Roman"/>
          <w:sz w:val="24"/>
          <w:szCs w:val="24"/>
          <w:lang w:val="en-GB"/>
        </w:rPr>
        <w:lastRenderedPageBreak/>
        <w:t>A</w:t>
      </w:r>
      <w:r w:rsidR="009D6E54" w:rsidRPr="009D6E54">
        <w:rPr>
          <w:rFonts w:ascii="Times New Roman" w:hAnsi="Times New Roman" w:cs="Times New Roman"/>
          <w:sz w:val="24"/>
          <w:szCs w:val="24"/>
          <w:lang w:val="en-GB"/>
        </w:rPr>
        <w:t xml:space="preserve"> third </w:t>
      </w:r>
      <w:r w:rsidRPr="009D6E54">
        <w:rPr>
          <w:rFonts w:ascii="Times New Roman" w:hAnsi="Times New Roman" w:cs="Times New Roman"/>
          <w:sz w:val="24"/>
          <w:szCs w:val="24"/>
          <w:lang w:val="en-GB"/>
        </w:rPr>
        <w:t xml:space="preserve">representation that may </w:t>
      </w:r>
      <w:r w:rsidR="009D6E54" w:rsidRPr="009D6E54">
        <w:rPr>
          <w:rFonts w:ascii="Times New Roman" w:hAnsi="Times New Roman" w:cs="Times New Roman"/>
          <w:sz w:val="24"/>
          <w:szCs w:val="24"/>
          <w:lang w:val="en-GB"/>
        </w:rPr>
        <w:t>be more suited to the ToR is to</w:t>
      </w:r>
      <w:r w:rsidRPr="009D6E54">
        <w:rPr>
          <w:rFonts w:ascii="Times New Roman" w:hAnsi="Times New Roman" w:cs="Times New Roman"/>
          <w:sz w:val="24"/>
          <w:szCs w:val="24"/>
          <w:lang w:val="en-GB"/>
        </w:rPr>
        <w:t xml:space="preserve"> condense the grading table to 3 percentages</w:t>
      </w:r>
      <w:r w:rsidR="009D6E54">
        <w:rPr>
          <w:rFonts w:ascii="Times New Roman" w:hAnsi="Times New Roman" w:cs="Times New Roman"/>
          <w:sz w:val="24"/>
          <w:szCs w:val="24"/>
          <w:lang w:val="en-GB"/>
        </w:rPr>
        <w:t>:</w:t>
      </w:r>
    </w:p>
    <w:p w:rsidR="009D6E54" w:rsidRPr="009D6E54" w:rsidRDefault="009D6E54" w:rsidP="00827A99">
      <w:pPr>
        <w:jc w:val="both"/>
        <w:rPr>
          <w:rFonts w:ascii="Times New Roman" w:hAnsi="Times New Roman" w:cs="Times New Roman"/>
          <w:sz w:val="24"/>
          <w:szCs w:val="24"/>
          <w:lang w:val="en-GB"/>
        </w:rPr>
      </w:pPr>
    </w:p>
    <w:p w:rsidR="00827A99" w:rsidRDefault="009D6E54" w:rsidP="00827A99">
      <w:pPr>
        <w:jc w:val="both"/>
        <w:rPr>
          <w:rFonts w:ascii="Times New Roman" w:hAnsi="Times New Roman" w:cs="Times New Roman"/>
          <w:b/>
          <w:sz w:val="24"/>
          <w:szCs w:val="24"/>
          <w:lang w:val="en-GB"/>
        </w:rPr>
      </w:pPr>
      <w:r w:rsidRPr="009D6E54">
        <w:rPr>
          <w:rFonts w:ascii="Times New Roman" w:hAnsi="Times New Roman" w:cs="Times New Roman"/>
          <w:noProof/>
          <w:sz w:val="24"/>
          <w:szCs w:val="24"/>
          <w:lang w:val="nl-BE" w:eastAsia="nl-BE"/>
        </w:rPr>
        <mc:AlternateContent>
          <mc:Choice Requires="wps">
            <w:drawing>
              <wp:anchor distT="0" distB="0" distL="114300" distR="114300" simplePos="0" relativeHeight="251666432" behindDoc="0" locked="0" layoutInCell="1" allowOverlap="1" wp14:anchorId="755DA9AB" wp14:editId="2542EBC6">
                <wp:simplePos x="0" y="0"/>
                <wp:positionH relativeFrom="column">
                  <wp:posOffset>3509010</wp:posOffset>
                </wp:positionH>
                <wp:positionV relativeFrom="paragraph">
                  <wp:posOffset>-205740</wp:posOffset>
                </wp:positionV>
                <wp:extent cx="719137" cy="3095625"/>
                <wp:effectExtent l="0" t="0" r="24130" b="28575"/>
                <wp:wrapNone/>
                <wp:docPr id="9" name="Stroomdiagram: Proces 6"/>
                <wp:cNvGraphicFramePr/>
                <a:graphic xmlns:a="http://schemas.openxmlformats.org/drawingml/2006/main">
                  <a:graphicData uri="http://schemas.microsoft.com/office/word/2010/wordprocessingShape">
                    <wps:wsp>
                      <wps:cNvSpPr/>
                      <wps:spPr>
                        <a:xfrm>
                          <a:off x="0" y="0"/>
                          <a:ext cx="719137" cy="3095625"/>
                        </a:xfrm>
                        <a:prstGeom prst="flowChartProcess">
                          <a:avLst/>
                        </a:prstGeom>
                        <a:solidFill>
                          <a:srgbClr val="FFC000">
                            <a:alpha val="27000"/>
                          </a:srgbClr>
                        </a:solidFill>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shapetype w14:anchorId="762D8313" id="_x0000_t109" coordsize="21600,21600" o:spt="109" path="m,l,21600r21600,l21600,xe">
                <v:stroke joinstyle="miter"/>
                <v:path gradientshapeok="t" o:connecttype="rect"/>
              </v:shapetype>
              <v:shape id="Stroomdiagram: Proces 6" o:spid="_x0000_s1026" type="#_x0000_t109" style="position:absolute;margin-left:276.3pt;margin-top:-16.2pt;width:56.6pt;height:24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" fillcolor="#ffc000" strokecolor="#243f60 [1604]" strokeweight="2pt">
                <v:fill opacity="17733f"/>
              </v:shape>
            </w:pict>
          </mc:Fallback>
        </mc:AlternateContent>
      </w:r>
      <w:r w:rsidRPr="009D6E54">
        <w:rPr>
          <w:rFonts w:ascii="Times New Roman" w:hAnsi="Times New Roman" w:cs="Times New Roman"/>
          <w:b/>
          <w:noProof/>
          <w:sz w:val="24"/>
          <w:szCs w:val="24"/>
          <w:lang w:val="nl-BE" w:eastAsia="nl-BE"/>
        </w:rPr>
        <w:drawing>
          <wp:inline distT="0" distB="0" distL="0" distR="0" wp14:anchorId="5583B7BF" wp14:editId="392D08AF">
            <wp:extent cx="6677025" cy="3262918"/>
            <wp:effectExtent l="0" t="0" r="0" b="0"/>
            <wp:docPr id="2868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81" name="Afbeelding 2"/>
                    <pic:cNvPicPr>
                      <a:picLocks noChangeAspect="1"/>
                    </pic:cNvPicPr>
                  </pic:nvPicPr>
                  <pic:blipFill>
                    <a:blip r:embed="rId20">
                      <a:extLst>
                        <a:ext uri="{28A0092B-C50C-407E-A947-70E740481C1C}">
                          <a14:useLocalDpi xmlns:a14="http://schemas.microsoft.com/office/drawing/2010/main" val="0"/>
                        </a:ext>
                      </a:extLst>
                    </a:blip>
                    <a:srcRect t="43845"/>
                    <a:stretch>
                      <a:fillRect/>
                    </a:stretch>
                  </pic:blipFill>
                  <pic:spPr bwMode="auto">
                    <a:xfrm>
                      <a:off x="0" y="0"/>
                      <a:ext cx="6677735" cy="3263265"/>
                    </a:xfrm>
                    <a:prstGeom prst="rect">
                      <a:avLst/>
                    </a:prstGeom>
                    <a:noFill/>
                    <a:ln>
                      <a:noFill/>
                    </a:ln>
                    <a:extLst/>
                  </pic:spPr>
                </pic:pic>
              </a:graphicData>
            </a:graphic>
          </wp:inline>
        </w:drawing>
      </w:r>
    </w:p>
    <w:p w:rsidR="009D6E54" w:rsidRPr="009D6E54" w:rsidRDefault="009D6E54" w:rsidP="00827A99">
      <w:pPr>
        <w:jc w:val="both"/>
        <w:rPr>
          <w:rFonts w:ascii="Times New Roman" w:hAnsi="Times New Roman" w:cs="Times New Roman"/>
          <w:sz w:val="24"/>
          <w:szCs w:val="24"/>
          <w:lang w:val="en-GB"/>
        </w:rPr>
      </w:pPr>
      <w:r w:rsidRPr="009D6E54">
        <w:rPr>
          <w:rFonts w:ascii="Times New Roman" w:hAnsi="Times New Roman" w:cs="Times New Roman"/>
          <w:sz w:val="24"/>
          <w:szCs w:val="24"/>
          <w:lang w:val="en-GB"/>
        </w:rPr>
        <w:t xml:space="preserve">Here </w:t>
      </w:r>
      <w:r>
        <w:rPr>
          <w:rFonts w:ascii="Times New Roman" w:hAnsi="Times New Roman" w:cs="Times New Roman"/>
          <w:sz w:val="24"/>
          <w:szCs w:val="24"/>
          <w:lang w:val="en-GB"/>
        </w:rPr>
        <w:t>the mark of the student (e.g. 14/20) is related to those that have a higher mark (9%), those that have the same mark (10%) and those that have a lower mark (81%). In this example it is clear that with 14/20 the students belongs to the top 19% of his cohort (9% + 10%)</w:t>
      </w:r>
    </w:p>
    <w:p w:rsidR="00200B61" w:rsidRDefault="00200B61" w:rsidP="00200B61">
      <w:pPr>
        <w:pStyle w:val="Kop1"/>
        <w:jc w:val="both"/>
        <w:rPr>
          <w:rFonts w:ascii="Times New Roman" w:eastAsiaTheme="minorHAnsi" w:hAnsi="Times New Roman" w:cs="Times New Roman"/>
          <w:bCs w:val="0"/>
          <w:color w:val="auto"/>
          <w:szCs w:val="32"/>
          <w:u w:val="single"/>
          <w:lang w:val="en-GB"/>
        </w:rPr>
      </w:pPr>
      <w:r w:rsidRPr="00200B61">
        <w:rPr>
          <w:rFonts w:ascii="Times New Roman" w:eastAsiaTheme="minorHAnsi" w:hAnsi="Times New Roman" w:cs="Times New Roman"/>
          <w:bCs w:val="0"/>
          <w:color w:val="auto"/>
          <w:szCs w:val="32"/>
          <w:u w:val="single"/>
          <w:lang w:val="en-GB"/>
        </w:rPr>
        <w:t>Final Remarks</w:t>
      </w:r>
    </w:p>
    <w:p w:rsidR="00E0391D" w:rsidRDefault="00E0391D" w:rsidP="00200B61">
      <w:pPr>
        <w:jc w:val="both"/>
        <w:rPr>
          <w:rFonts w:ascii="Times New Roman" w:hAnsi="Times New Roman" w:cs="Times New Roman"/>
          <w:sz w:val="24"/>
          <w:szCs w:val="24"/>
          <w:lang w:val="en-GB"/>
        </w:rPr>
      </w:pPr>
    </w:p>
    <w:p w:rsidR="00200B61" w:rsidRPr="004E26AD" w:rsidRDefault="00200B61" w:rsidP="00200B61">
      <w:pPr>
        <w:jc w:val="both"/>
        <w:rPr>
          <w:rFonts w:ascii="Times New Roman" w:hAnsi="Times New Roman" w:cs="Times New Roman"/>
          <w:sz w:val="24"/>
          <w:szCs w:val="24"/>
          <w:lang w:val="en-GB"/>
        </w:rPr>
      </w:pPr>
      <w:r w:rsidRPr="00200B61">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main aim of the Egracons project </w:t>
      </w:r>
      <w:r w:rsidR="00D31A3F">
        <w:rPr>
          <w:rFonts w:ascii="Times New Roman" w:hAnsi="Times New Roman" w:cs="Times New Roman"/>
          <w:sz w:val="24"/>
          <w:szCs w:val="24"/>
          <w:lang w:val="en-GB"/>
        </w:rPr>
        <w:t>was</w:t>
      </w:r>
      <w:r>
        <w:rPr>
          <w:rFonts w:ascii="Times New Roman" w:hAnsi="Times New Roman" w:cs="Times New Roman"/>
          <w:sz w:val="24"/>
          <w:szCs w:val="24"/>
          <w:lang w:val="en-GB"/>
        </w:rPr>
        <w:t xml:space="preserve"> to </w:t>
      </w:r>
      <w:r w:rsidRPr="004E26AD">
        <w:rPr>
          <w:rFonts w:ascii="Times New Roman" w:hAnsi="Times New Roman" w:cs="Times New Roman"/>
          <w:sz w:val="24"/>
          <w:szCs w:val="24"/>
          <w:lang w:val="en-GB"/>
        </w:rPr>
        <w:t xml:space="preserve">develop an online, web based Egracons tool that </w:t>
      </w:r>
      <w:r w:rsidR="00D31A3F">
        <w:rPr>
          <w:rFonts w:ascii="Times New Roman" w:hAnsi="Times New Roman" w:cs="Times New Roman"/>
          <w:sz w:val="24"/>
          <w:szCs w:val="24"/>
          <w:lang w:val="en-GB"/>
        </w:rPr>
        <w:t>allows</w:t>
      </w:r>
      <w:r w:rsidRPr="004E26AD">
        <w:rPr>
          <w:rFonts w:ascii="Times New Roman" w:hAnsi="Times New Roman" w:cs="Times New Roman"/>
          <w:sz w:val="24"/>
          <w:szCs w:val="24"/>
          <w:lang w:val="en-GB"/>
        </w:rPr>
        <w:t xml:space="preserve"> direct and automatic c</w:t>
      </w:r>
      <w:r w:rsidR="00BE6766">
        <w:rPr>
          <w:rFonts w:ascii="Times New Roman" w:hAnsi="Times New Roman" w:cs="Times New Roman"/>
          <w:sz w:val="24"/>
          <w:szCs w:val="24"/>
          <w:lang w:val="en-GB"/>
        </w:rPr>
        <w:t xml:space="preserve">onversions of exchange student </w:t>
      </w:r>
      <w:r w:rsidRPr="004E26AD">
        <w:rPr>
          <w:rFonts w:ascii="Times New Roman" w:hAnsi="Times New Roman" w:cs="Times New Roman"/>
          <w:sz w:val="24"/>
          <w:szCs w:val="24"/>
          <w:lang w:val="en-GB"/>
        </w:rPr>
        <w:t>grades on the basis of annual, statistically-based grading tables supplied by individual institutions as part of an overall database.</w:t>
      </w:r>
    </w:p>
    <w:p w:rsidR="004E26AD" w:rsidRPr="004E26AD" w:rsidRDefault="004E26AD" w:rsidP="00200B61">
      <w:pPr>
        <w:jc w:val="both"/>
        <w:rPr>
          <w:rFonts w:ascii="Times New Roman" w:hAnsi="Times New Roman" w:cs="Times New Roman"/>
          <w:sz w:val="24"/>
          <w:szCs w:val="24"/>
          <w:lang w:val="en-GB"/>
        </w:rPr>
      </w:pPr>
      <w:r w:rsidRPr="004E26AD">
        <w:rPr>
          <w:rFonts w:ascii="Times New Roman" w:hAnsi="Times New Roman" w:cs="Times New Roman"/>
          <w:sz w:val="24"/>
          <w:szCs w:val="24"/>
          <w:lang w:val="en-GB"/>
        </w:rPr>
        <w:t xml:space="preserve">But it also aims to build up a wide-spread awareness and common understanding of the different grading systems in Europe and to enable an accurate interpretation of grades (or marks) given abroad. </w:t>
      </w:r>
      <w:r w:rsidR="00E0391D">
        <w:rPr>
          <w:rFonts w:ascii="Times New Roman" w:hAnsi="Times New Roman" w:cs="Times New Roman"/>
          <w:sz w:val="24"/>
          <w:szCs w:val="24"/>
          <w:lang w:val="en-GB"/>
        </w:rPr>
        <w:t>Based on an extensive questionnaire we have elaborated country reports with a descr</w:t>
      </w:r>
      <w:r w:rsidRPr="004E26AD">
        <w:rPr>
          <w:rFonts w:ascii="Times New Roman" w:hAnsi="Times New Roman" w:cs="Times New Roman"/>
          <w:sz w:val="24"/>
          <w:szCs w:val="24"/>
          <w:lang w:val="en-GB"/>
        </w:rPr>
        <w:t>iption of the grading systems in use in Europe. The</w:t>
      </w:r>
      <w:r w:rsidR="00E0391D">
        <w:rPr>
          <w:rFonts w:ascii="Times New Roman" w:hAnsi="Times New Roman" w:cs="Times New Roman"/>
          <w:sz w:val="24"/>
          <w:szCs w:val="24"/>
          <w:lang w:val="en-GB"/>
        </w:rPr>
        <w:t>se</w:t>
      </w:r>
      <w:r w:rsidRPr="004E26AD">
        <w:rPr>
          <w:rFonts w:ascii="Times New Roman" w:hAnsi="Times New Roman" w:cs="Times New Roman"/>
          <w:sz w:val="24"/>
          <w:szCs w:val="24"/>
          <w:lang w:val="en-GB"/>
        </w:rPr>
        <w:t xml:space="preserve"> </w:t>
      </w:r>
      <w:hyperlink r:id="rId21" w:history="1">
        <w:r w:rsidRPr="0029441B">
          <w:rPr>
            <w:rStyle w:val="Hyperlink"/>
            <w:rFonts w:ascii="Times New Roman" w:hAnsi="Times New Roman" w:cs="Times New Roman"/>
            <w:sz w:val="24"/>
            <w:szCs w:val="24"/>
            <w:lang w:val="en-GB"/>
          </w:rPr>
          <w:t>country reports</w:t>
        </w:r>
      </w:hyperlink>
      <w:r w:rsidRPr="004E26AD">
        <w:rPr>
          <w:rFonts w:ascii="Times New Roman" w:hAnsi="Times New Roman" w:cs="Times New Roman"/>
          <w:sz w:val="24"/>
          <w:szCs w:val="24"/>
          <w:lang w:val="en-GB"/>
        </w:rPr>
        <w:t xml:space="preserve"> describe grading practices in all European countries with HEIs that take part in Erasmus mobility, and probably beyond that </w:t>
      </w:r>
      <w:r w:rsidR="00D31A3F">
        <w:rPr>
          <w:rFonts w:ascii="Times New Roman" w:hAnsi="Times New Roman" w:cs="Times New Roman"/>
          <w:sz w:val="24"/>
          <w:szCs w:val="24"/>
          <w:lang w:val="en-GB"/>
        </w:rPr>
        <w:t xml:space="preserve">area at a later stage. HEIs </w:t>
      </w:r>
      <w:r w:rsidRPr="004E26AD">
        <w:rPr>
          <w:rFonts w:ascii="Times New Roman" w:hAnsi="Times New Roman" w:cs="Times New Roman"/>
          <w:sz w:val="24"/>
          <w:szCs w:val="24"/>
          <w:lang w:val="en-GB"/>
        </w:rPr>
        <w:t xml:space="preserve"> take part on a voluntary basis. Detailed explanations of distinctive features and grading cultures per country and institution are provided, including the range of grades, condoning, the average distribution of grades, required overall averages or not, specific bands within grades, differences among disciplines, etc. This allows for a better interpretation of each grading system and hence of the grades</w:t>
      </w:r>
      <w:r w:rsidR="00D31A3F">
        <w:rPr>
          <w:rFonts w:ascii="Times New Roman" w:hAnsi="Times New Roman" w:cs="Times New Roman"/>
          <w:sz w:val="24"/>
          <w:szCs w:val="24"/>
          <w:lang w:val="en-GB"/>
        </w:rPr>
        <w:t xml:space="preserve"> suggested by the online tool. Country reports for about 30 countries are available. </w:t>
      </w:r>
      <w:r w:rsidRPr="004E26AD">
        <w:rPr>
          <w:rFonts w:ascii="Times New Roman" w:hAnsi="Times New Roman" w:cs="Times New Roman"/>
          <w:sz w:val="24"/>
          <w:szCs w:val="24"/>
          <w:lang w:val="en-GB"/>
        </w:rPr>
        <w:t>We invite everyone to help us fine</w:t>
      </w:r>
      <w:r w:rsidR="003D751A">
        <w:rPr>
          <w:rFonts w:ascii="Times New Roman" w:hAnsi="Times New Roman" w:cs="Times New Roman"/>
          <w:sz w:val="24"/>
          <w:szCs w:val="24"/>
          <w:lang w:val="en-GB"/>
        </w:rPr>
        <w:t xml:space="preserve"> </w:t>
      </w:r>
      <w:r w:rsidRPr="004E26AD">
        <w:rPr>
          <w:rFonts w:ascii="Times New Roman" w:hAnsi="Times New Roman" w:cs="Times New Roman"/>
          <w:sz w:val="24"/>
          <w:szCs w:val="24"/>
          <w:lang w:val="en-GB"/>
        </w:rPr>
        <w:t xml:space="preserve">tune the info by sending us your comments. </w:t>
      </w:r>
      <w:bookmarkStart w:id="0" w:name="_GoBack"/>
      <w:bookmarkEnd w:id="0"/>
    </w:p>
    <w:sectPr w:rsidR="004E26AD" w:rsidRPr="004E26AD" w:rsidSect="005960FC">
      <w:footerReference w:type="default" r:id="rId2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080" w:rsidRDefault="00E96080" w:rsidP="009E5206">
      <w:pPr>
        <w:spacing w:after="0" w:line="240" w:lineRule="auto"/>
      </w:pPr>
      <w:r>
        <w:separator/>
      </w:r>
    </w:p>
  </w:endnote>
  <w:endnote w:type="continuationSeparator" w:id="0">
    <w:p w:rsidR="00E96080" w:rsidRDefault="00E96080" w:rsidP="009E5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E54" w:rsidRPr="009D6E54" w:rsidRDefault="008F3E05">
    <w:pPr>
      <w:pStyle w:val="Voettekst"/>
      <w:pBdr>
        <w:top w:val="thinThickSmallGap" w:sz="24" w:space="1" w:color="622423" w:themeColor="accent2" w:themeShade="7F"/>
      </w:pBdr>
      <w:rPr>
        <w:rFonts w:asciiTheme="majorHAnsi" w:eastAsiaTheme="majorEastAsia" w:hAnsiTheme="majorHAnsi" w:cstheme="majorBidi"/>
        <w:sz w:val="18"/>
        <w:szCs w:val="18"/>
      </w:rPr>
    </w:pPr>
    <w:r>
      <w:rPr>
        <w:rFonts w:asciiTheme="majorHAnsi" w:eastAsiaTheme="majorEastAsia" w:hAnsiTheme="majorHAnsi" w:cstheme="majorBidi"/>
        <w:sz w:val="18"/>
        <w:szCs w:val="18"/>
      </w:rPr>
      <w:t>Version 28/07/2016</w:t>
    </w:r>
    <w:r w:rsidR="0070266A">
      <w:rPr>
        <w:rFonts w:asciiTheme="majorHAnsi" w:eastAsiaTheme="majorEastAsia" w:hAnsiTheme="majorHAnsi" w:cstheme="majorBidi"/>
        <w:sz w:val="18"/>
        <w:szCs w:val="18"/>
      </w:rPr>
      <w:t xml:space="preserve"> </w:t>
    </w:r>
    <w:r w:rsidR="0070266A">
      <w:rPr>
        <w:rFonts w:asciiTheme="majorHAnsi" w:eastAsiaTheme="majorEastAsia" w:hAnsiTheme="majorHAnsi" w:cstheme="majorBidi"/>
        <w:sz w:val="18"/>
        <w:szCs w:val="18"/>
      </w:rPr>
      <w:tab/>
    </w:r>
    <w:r w:rsidR="0070266A">
      <w:rPr>
        <w:rFonts w:asciiTheme="majorHAnsi" w:eastAsiaTheme="majorEastAsia" w:hAnsiTheme="majorHAnsi" w:cstheme="majorBidi"/>
        <w:sz w:val="18"/>
        <w:szCs w:val="18"/>
      </w:rPr>
      <w:tab/>
      <w:t>Pag</w:t>
    </w:r>
    <w:r w:rsidR="009D6E54" w:rsidRPr="009D6E54">
      <w:rPr>
        <w:rFonts w:asciiTheme="majorHAnsi" w:eastAsiaTheme="majorEastAsia" w:hAnsiTheme="majorHAnsi" w:cstheme="majorBidi"/>
        <w:sz w:val="18"/>
        <w:szCs w:val="18"/>
        <w:lang w:val="nl-NL"/>
      </w:rPr>
      <w:t xml:space="preserve">ina </w:t>
    </w:r>
    <w:r w:rsidR="009D6E54" w:rsidRPr="009D6E54">
      <w:rPr>
        <w:rFonts w:eastAsiaTheme="minorEastAsia"/>
        <w:sz w:val="18"/>
        <w:szCs w:val="18"/>
      </w:rPr>
      <w:fldChar w:fldCharType="begin"/>
    </w:r>
    <w:r w:rsidR="009D6E54" w:rsidRPr="009D6E54">
      <w:rPr>
        <w:sz w:val="18"/>
        <w:szCs w:val="18"/>
      </w:rPr>
      <w:instrText>PAGE   \* MERGEFORMAT</w:instrText>
    </w:r>
    <w:r w:rsidR="009D6E54" w:rsidRPr="009D6E54">
      <w:rPr>
        <w:rFonts w:eastAsiaTheme="minorEastAsia"/>
        <w:sz w:val="18"/>
        <w:szCs w:val="18"/>
      </w:rPr>
      <w:fldChar w:fldCharType="separate"/>
    </w:r>
    <w:r w:rsidR="00D31A3F" w:rsidRPr="00D31A3F">
      <w:rPr>
        <w:rFonts w:asciiTheme="majorHAnsi" w:eastAsiaTheme="majorEastAsia" w:hAnsiTheme="majorHAnsi" w:cstheme="majorBidi"/>
        <w:noProof/>
        <w:sz w:val="18"/>
        <w:szCs w:val="18"/>
        <w:lang w:val="nl-NL"/>
      </w:rPr>
      <w:t>7</w:t>
    </w:r>
    <w:r w:rsidR="009D6E54" w:rsidRPr="009D6E54">
      <w:rPr>
        <w:rFonts w:asciiTheme="majorHAnsi" w:eastAsiaTheme="majorEastAsia" w:hAnsiTheme="majorHAnsi" w:cstheme="majorBidi"/>
        <w:sz w:val="18"/>
        <w:szCs w:val="18"/>
      </w:rPr>
      <w:fldChar w:fldCharType="end"/>
    </w:r>
  </w:p>
  <w:p w:rsidR="00200B61" w:rsidRPr="001B20D2" w:rsidRDefault="00200B61" w:rsidP="00983611">
    <w:pPr>
      <w:pStyle w:val="Voettek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080" w:rsidRDefault="00E96080" w:rsidP="009E5206">
      <w:pPr>
        <w:spacing w:after="0" w:line="240" w:lineRule="auto"/>
      </w:pPr>
      <w:r>
        <w:separator/>
      </w:r>
    </w:p>
  </w:footnote>
  <w:footnote w:type="continuationSeparator" w:id="0">
    <w:p w:rsidR="00E96080" w:rsidRDefault="00E96080" w:rsidP="009E5206">
      <w:pPr>
        <w:spacing w:after="0" w:line="240" w:lineRule="auto"/>
      </w:pPr>
      <w:r>
        <w:continuationSeparator/>
      </w:r>
    </w:p>
  </w:footnote>
  <w:footnote w:id="1">
    <w:p w:rsidR="0050169A" w:rsidRPr="0003367F" w:rsidRDefault="0050169A" w:rsidP="0050169A">
      <w:pPr>
        <w:pStyle w:val="Voetnoottekst"/>
        <w:rPr>
          <w:lang w:val="en-US"/>
        </w:rPr>
      </w:pPr>
      <w:r>
        <w:rPr>
          <w:vertAlign w:val="superscript"/>
        </w:rPr>
        <w:footnoteRef/>
      </w:r>
      <w:r>
        <w:rPr>
          <w:rStyle w:val="Hyperlink2"/>
        </w:rPr>
        <w:t>http://www.uis.unesco.org/Education/Pages/international-standard-classification-of-education.aspx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135A"/>
    <w:multiLevelType w:val="hybridMultilevel"/>
    <w:tmpl w:val="21D09C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DD5D81"/>
    <w:multiLevelType w:val="hybridMultilevel"/>
    <w:tmpl w:val="BADC3D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123677"/>
    <w:multiLevelType w:val="hybridMultilevel"/>
    <w:tmpl w:val="547203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443453"/>
    <w:multiLevelType w:val="hybridMultilevel"/>
    <w:tmpl w:val="1A74567C"/>
    <w:lvl w:ilvl="0" w:tplc="0813000F">
      <w:start w:val="1"/>
      <w:numFmt w:val="decimal"/>
      <w:lvlText w:val="%1."/>
      <w:lvlJc w:val="left"/>
      <w:pPr>
        <w:ind w:left="720" w:hanging="72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168118A7"/>
    <w:multiLevelType w:val="hybridMultilevel"/>
    <w:tmpl w:val="004485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5E172E"/>
    <w:multiLevelType w:val="hybridMultilevel"/>
    <w:tmpl w:val="D9FC39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78161B6"/>
    <w:multiLevelType w:val="hybridMultilevel"/>
    <w:tmpl w:val="88BAD2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05D4B52"/>
    <w:multiLevelType w:val="hybridMultilevel"/>
    <w:tmpl w:val="A99C54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170531"/>
    <w:multiLevelType w:val="hybridMultilevel"/>
    <w:tmpl w:val="22322F5C"/>
    <w:lvl w:ilvl="0" w:tplc="08130001">
      <w:start w:val="1"/>
      <w:numFmt w:val="bullet"/>
      <w:lvlText w:val=""/>
      <w:lvlJc w:val="left"/>
      <w:pPr>
        <w:ind w:left="644" w:hanging="360"/>
      </w:pPr>
      <w:rPr>
        <w:rFonts w:ascii="Symbol" w:hAnsi="Symbol" w:hint="default"/>
        <w:b/>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9" w15:restartNumberingAfterBreak="0">
    <w:nsid w:val="231E5CF9"/>
    <w:multiLevelType w:val="hybridMultilevel"/>
    <w:tmpl w:val="09F081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8EB0122"/>
    <w:multiLevelType w:val="hybridMultilevel"/>
    <w:tmpl w:val="2D72B234"/>
    <w:lvl w:ilvl="0" w:tplc="D7BA7558">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42A71EE"/>
    <w:multiLevelType w:val="hybridMultilevel"/>
    <w:tmpl w:val="07D02F6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364534F0"/>
    <w:multiLevelType w:val="hybridMultilevel"/>
    <w:tmpl w:val="0DD6446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37B268E1"/>
    <w:multiLevelType w:val="hybridMultilevel"/>
    <w:tmpl w:val="9B244F3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A1751C4"/>
    <w:multiLevelType w:val="hybridMultilevel"/>
    <w:tmpl w:val="FDB47E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6F3168A"/>
    <w:multiLevelType w:val="multilevel"/>
    <w:tmpl w:val="D6FC2960"/>
    <w:styleLink w:val="List8"/>
    <w:lvl w:ilvl="0">
      <w:start w:val="1"/>
      <w:numFmt w:val="decimal"/>
      <w:lvlText w:val="%1."/>
      <w:lvlJc w:val="left"/>
      <w:rPr>
        <w:color w:val="000000"/>
        <w:position w:val="0"/>
        <w:u w:color="000000"/>
        <w:rtl w:val="0"/>
        <w:lang w:val="en-US"/>
      </w:rPr>
    </w:lvl>
    <w:lvl w:ilvl="1">
      <w:start w:val="1"/>
      <w:numFmt w:val="lowerLetter"/>
      <w:lvlText w:val="%2."/>
      <w:lvlJc w:val="left"/>
      <w:rPr>
        <w:color w:val="000000"/>
        <w:position w:val="0"/>
        <w:u w:color="000000"/>
        <w:rtl w:val="0"/>
        <w:lang w:val="en-US"/>
      </w:rPr>
    </w:lvl>
    <w:lvl w:ilvl="2">
      <w:start w:val="1"/>
      <w:numFmt w:val="lowerRoman"/>
      <w:lvlText w:val="%3."/>
      <w:lvlJc w:val="left"/>
      <w:rPr>
        <w:color w:val="000000"/>
        <w:position w:val="0"/>
        <w:u w:color="000000"/>
        <w:rtl w:val="0"/>
        <w:lang w:val="en-US"/>
      </w:rPr>
    </w:lvl>
    <w:lvl w:ilvl="3">
      <w:start w:val="1"/>
      <w:numFmt w:val="decimal"/>
      <w:lvlText w:val="%4."/>
      <w:lvlJc w:val="left"/>
      <w:rPr>
        <w:color w:val="000000"/>
        <w:position w:val="0"/>
        <w:u w:color="000000"/>
        <w:rtl w:val="0"/>
        <w:lang w:val="en-US"/>
      </w:rPr>
    </w:lvl>
    <w:lvl w:ilvl="4">
      <w:start w:val="1"/>
      <w:numFmt w:val="lowerLetter"/>
      <w:lvlText w:val="%5."/>
      <w:lvlJc w:val="left"/>
      <w:rPr>
        <w:color w:val="000000"/>
        <w:position w:val="0"/>
        <w:u w:color="000000"/>
        <w:rtl w:val="0"/>
        <w:lang w:val="en-US"/>
      </w:rPr>
    </w:lvl>
    <w:lvl w:ilvl="5">
      <w:start w:val="1"/>
      <w:numFmt w:val="lowerRoman"/>
      <w:lvlText w:val="%6."/>
      <w:lvlJc w:val="left"/>
      <w:rPr>
        <w:color w:val="000000"/>
        <w:position w:val="0"/>
        <w:u w:color="000000"/>
        <w:rtl w:val="0"/>
        <w:lang w:val="en-US"/>
      </w:rPr>
    </w:lvl>
    <w:lvl w:ilvl="6">
      <w:start w:val="1"/>
      <w:numFmt w:val="decimal"/>
      <w:lvlText w:val="%7."/>
      <w:lvlJc w:val="left"/>
      <w:rPr>
        <w:color w:val="000000"/>
        <w:position w:val="0"/>
        <w:u w:color="000000"/>
        <w:rtl w:val="0"/>
        <w:lang w:val="en-US"/>
      </w:rPr>
    </w:lvl>
    <w:lvl w:ilvl="7">
      <w:start w:val="1"/>
      <w:numFmt w:val="lowerLetter"/>
      <w:lvlText w:val="%8."/>
      <w:lvlJc w:val="left"/>
      <w:rPr>
        <w:color w:val="000000"/>
        <w:position w:val="0"/>
        <w:u w:color="000000"/>
        <w:rtl w:val="0"/>
        <w:lang w:val="en-US"/>
      </w:rPr>
    </w:lvl>
    <w:lvl w:ilvl="8">
      <w:start w:val="1"/>
      <w:numFmt w:val="lowerRoman"/>
      <w:lvlText w:val="%9."/>
      <w:lvlJc w:val="left"/>
      <w:rPr>
        <w:color w:val="000000"/>
        <w:position w:val="0"/>
        <w:u w:color="000000"/>
        <w:rtl w:val="0"/>
        <w:lang w:val="en-US"/>
      </w:rPr>
    </w:lvl>
  </w:abstractNum>
  <w:abstractNum w:abstractNumId="16" w15:restartNumberingAfterBreak="0">
    <w:nsid w:val="4BD43CE3"/>
    <w:multiLevelType w:val="hybridMultilevel"/>
    <w:tmpl w:val="1C4CF9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AAF43D1"/>
    <w:multiLevelType w:val="hybridMultilevel"/>
    <w:tmpl w:val="FB44F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AC86105"/>
    <w:multiLevelType w:val="hybridMultilevel"/>
    <w:tmpl w:val="7818B3AC"/>
    <w:lvl w:ilvl="0" w:tplc="70A4BF46">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B9C2F5D"/>
    <w:multiLevelType w:val="hybridMultilevel"/>
    <w:tmpl w:val="5C92E5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1391DAE"/>
    <w:multiLevelType w:val="hybridMultilevel"/>
    <w:tmpl w:val="C6F097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4130119"/>
    <w:multiLevelType w:val="hybridMultilevel"/>
    <w:tmpl w:val="A95254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5C03BE9"/>
    <w:multiLevelType w:val="hybridMultilevel"/>
    <w:tmpl w:val="35D465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7481287"/>
    <w:multiLevelType w:val="hybridMultilevel"/>
    <w:tmpl w:val="6CC082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7FE545E"/>
    <w:multiLevelType w:val="hybridMultilevel"/>
    <w:tmpl w:val="8758A98C"/>
    <w:lvl w:ilvl="0" w:tplc="9D7E90DA">
      <w:start w:val="5"/>
      <w:numFmt w:val="bullet"/>
      <w:lvlText w:val="-"/>
      <w:lvlJc w:val="left"/>
      <w:pPr>
        <w:ind w:left="720" w:hanging="360"/>
      </w:pPr>
      <w:rPr>
        <w:rFonts w:ascii="Times New Roman" w:eastAsiaTheme="minorHAnsi" w:hAnsi="Times New Roman" w:cs="Times New Roman"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9E302EF"/>
    <w:multiLevelType w:val="hybridMultilevel"/>
    <w:tmpl w:val="8A7A153A"/>
    <w:lvl w:ilvl="0" w:tplc="70A4BF46">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BD9339F"/>
    <w:multiLevelType w:val="hybridMultilevel"/>
    <w:tmpl w:val="D2E092B2"/>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6DE667B0"/>
    <w:multiLevelType w:val="hybridMultilevel"/>
    <w:tmpl w:val="344CD2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DEE20FF"/>
    <w:multiLevelType w:val="hybridMultilevel"/>
    <w:tmpl w:val="2444A7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3514C4D"/>
    <w:multiLevelType w:val="hybridMultilevel"/>
    <w:tmpl w:val="BADE8E48"/>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E217D52"/>
    <w:multiLevelType w:val="hybridMultilevel"/>
    <w:tmpl w:val="294212A4"/>
    <w:lvl w:ilvl="0" w:tplc="D7BA7558">
      <w:numFmt w:val="bullet"/>
      <w:lvlText w:val="-"/>
      <w:lvlJc w:val="left"/>
      <w:pPr>
        <w:ind w:left="360" w:hanging="360"/>
      </w:pPr>
      <w:rPr>
        <w:rFonts w:ascii="Times New Roman" w:eastAsiaTheme="minorHAnsi"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7FCF0E26"/>
    <w:multiLevelType w:val="hybridMultilevel"/>
    <w:tmpl w:val="4C7807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9"/>
  </w:num>
  <w:num w:numId="2">
    <w:abstractNumId w:val="5"/>
  </w:num>
  <w:num w:numId="3">
    <w:abstractNumId w:val="21"/>
  </w:num>
  <w:num w:numId="4">
    <w:abstractNumId w:val="1"/>
  </w:num>
  <w:num w:numId="5">
    <w:abstractNumId w:val="17"/>
  </w:num>
  <w:num w:numId="6">
    <w:abstractNumId w:val="28"/>
  </w:num>
  <w:num w:numId="7">
    <w:abstractNumId w:val="2"/>
  </w:num>
  <w:num w:numId="8">
    <w:abstractNumId w:val="6"/>
  </w:num>
  <w:num w:numId="9">
    <w:abstractNumId w:val="14"/>
  </w:num>
  <w:num w:numId="10">
    <w:abstractNumId w:val="27"/>
  </w:num>
  <w:num w:numId="11">
    <w:abstractNumId w:val="13"/>
  </w:num>
  <w:num w:numId="12">
    <w:abstractNumId w:val="22"/>
  </w:num>
  <w:num w:numId="13">
    <w:abstractNumId w:val="4"/>
  </w:num>
  <w:num w:numId="14">
    <w:abstractNumId w:val="23"/>
  </w:num>
  <w:num w:numId="15">
    <w:abstractNumId w:val="26"/>
  </w:num>
  <w:num w:numId="16">
    <w:abstractNumId w:val="31"/>
  </w:num>
  <w:num w:numId="17">
    <w:abstractNumId w:val="19"/>
  </w:num>
  <w:num w:numId="18">
    <w:abstractNumId w:val="12"/>
  </w:num>
  <w:num w:numId="19">
    <w:abstractNumId w:val="24"/>
  </w:num>
  <w:num w:numId="20">
    <w:abstractNumId w:val="8"/>
  </w:num>
  <w:num w:numId="21">
    <w:abstractNumId w:val="16"/>
  </w:num>
  <w:num w:numId="22">
    <w:abstractNumId w:val="7"/>
  </w:num>
  <w:num w:numId="23">
    <w:abstractNumId w:val="9"/>
  </w:num>
  <w:num w:numId="24">
    <w:abstractNumId w:val="11"/>
  </w:num>
  <w:num w:numId="25">
    <w:abstractNumId w:val="20"/>
  </w:num>
  <w:num w:numId="26">
    <w:abstractNumId w:val="18"/>
  </w:num>
  <w:num w:numId="27">
    <w:abstractNumId w:val="25"/>
  </w:num>
  <w:num w:numId="28">
    <w:abstractNumId w:val="3"/>
  </w:num>
  <w:num w:numId="29">
    <w:abstractNumId w:val="0"/>
  </w:num>
  <w:num w:numId="30">
    <w:abstractNumId w:val="10"/>
  </w:num>
  <w:num w:numId="31">
    <w:abstractNumId w:val="3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FC6"/>
    <w:rsid w:val="00004B76"/>
    <w:rsid w:val="00006A0D"/>
    <w:rsid w:val="0003261E"/>
    <w:rsid w:val="00035EDA"/>
    <w:rsid w:val="000549CE"/>
    <w:rsid w:val="00077CC1"/>
    <w:rsid w:val="000D4DCA"/>
    <w:rsid w:val="000F211B"/>
    <w:rsid w:val="0010007C"/>
    <w:rsid w:val="00141F31"/>
    <w:rsid w:val="00143C9A"/>
    <w:rsid w:val="00167D4E"/>
    <w:rsid w:val="00176E7C"/>
    <w:rsid w:val="001824E7"/>
    <w:rsid w:val="001B20D2"/>
    <w:rsid w:val="001D29F1"/>
    <w:rsid w:val="001D4F70"/>
    <w:rsid w:val="001E1200"/>
    <w:rsid w:val="001E23F7"/>
    <w:rsid w:val="00200B61"/>
    <w:rsid w:val="00221B27"/>
    <w:rsid w:val="00242B5A"/>
    <w:rsid w:val="00243801"/>
    <w:rsid w:val="002469D3"/>
    <w:rsid w:val="00253C46"/>
    <w:rsid w:val="00256C6C"/>
    <w:rsid w:val="0028275E"/>
    <w:rsid w:val="0029441B"/>
    <w:rsid w:val="002A7264"/>
    <w:rsid w:val="002C5412"/>
    <w:rsid w:val="002E258A"/>
    <w:rsid w:val="0032125D"/>
    <w:rsid w:val="00346E85"/>
    <w:rsid w:val="0038390D"/>
    <w:rsid w:val="00384AD3"/>
    <w:rsid w:val="003A4569"/>
    <w:rsid w:val="003A4FFE"/>
    <w:rsid w:val="003D751A"/>
    <w:rsid w:val="003F21ED"/>
    <w:rsid w:val="003F565F"/>
    <w:rsid w:val="00425335"/>
    <w:rsid w:val="004A455D"/>
    <w:rsid w:val="004B06CF"/>
    <w:rsid w:val="004B147B"/>
    <w:rsid w:val="004B3ABE"/>
    <w:rsid w:val="004C340E"/>
    <w:rsid w:val="004E0D3E"/>
    <w:rsid w:val="004E26AD"/>
    <w:rsid w:val="004F4DDD"/>
    <w:rsid w:val="004F4E3D"/>
    <w:rsid w:val="0050169A"/>
    <w:rsid w:val="005056F9"/>
    <w:rsid w:val="0052576A"/>
    <w:rsid w:val="005329B7"/>
    <w:rsid w:val="00537642"/>
    <w:rsid w:val="005516D5"/>
    <w:rsid w:val="005733F3"/>
    <w:rsid w:val="00585C2A"/>
    <w:rsid w:val="005909B1"/>
    <w:rsid w:val="005960FC"/>
    <w:rsid w:val="005964F7"/>
    <w:rsid w:val="005A62AC"/>
    <w:rsid w:val="005B02B6"/>
    <w:rsid w:val="005C3B2C"/>
    <w:rsid w:val="005D04A9"/>
    <w:rsid w:val="005D082E"/>
    <w:rsid w:val="005E42CF"/>
    <w:rsid w:val="005F5B18"/>
    <w:rsid w:val="00637B06"/>
    <w:rsid w:val="00641DCF"/>
    <w:rsid w:val="00657C29"/>
    <w:rsid w:val="00684311"/>
    <w:rsid w:val="00694F54"/>
    <w:rsid w:val="006A2569"/>
    <w:rsid w:val="006A7E22"/>
    <w:rsid w:val="006B7D6C"/>
    <w:rsid w:val="006C2703"/>
    <w:rsid w:val="006C344D"/>
    <w:rsid w:val="006D6B31"/>
    <w:rsid w:val="006E272C"/>
    <w:rsid w:val="006E5CBE"/>
    <w:rsid w:val="0070266A"/>
    <w:rsid w:val="00713A93"/>
    <w:rsid w:val="00734C19"/>
    <w:rsid w:val="007B60A1"/>
    <w:rsid w:val="007C78C0"/>
    <w:rsid w:val="007D2C19"/>
    <w:rsid w:val="0081395B"/>
    <w:rsid w:val="00820CB0"/>
    <w:rsid w:val="00827A99"/>
    <w:rsid w:val="00833DE9"/>
    <w:rsid w:val="00851191"/>
    <w:rsid w:val="00852CB1"/>
    <w:rsid w:val="00867F6F"/>
    <w:rsid w:val="008840B9"/>
    <w:rsid w:val="00890BFB"/>
    <w:rsid w:val="00896CA5"/>
    <w:rsid w:val="008B04B4"/>
    <w:rsid w:val="008B33C4"/>
    <w:rsid w:val="008D29F3"/>
    <w:rsid w:val="008E1AC4"/>
    <w:rsid w:val="008E1B86"/>
    <w:rsid w:val="008F3E05"/>
    <w:rsid w:val="008F42B6"/>
    <w:rsid w:val="008F58A6"/>
    <w:rsid w:val="009055A3"/>
    <w:rsid w:val="009143ED"/>
    <w:rsid w:val="009225AC"/>
    <w:rsid w:val="0093061B"/>
    <w:rsid w:val="00931F42"/>
    <w:rsid w:val="00945EDA"/>
    <w:rsid w:val="009537FC"/>
    <w:rsid w:val="00983611"/>
    <w:rsid w:val="00990133"/>
    <w:rsid w:val="009C6E9A"/>
    <w:rsid w:val="009D6E54"/>
    <w:rsid w:val="009E5206"/>
    <w:rsid w:val="009F4BA6"/>
    <w:rsid w:val="00A263BC"/>
    <w:rsid w:val="00A54DD6"/>
    <w:rsid w:val="00A554BB"/>
    <w:rsid w:val="00A72CAE"/>
    <w:rsid w:val="00A84464"/>
    <w:rsid w:val="00AA33CD"/>
    <w:rsid w:val="00AB5938"/>
    <w:rsid w:val="00AC210F"/>
    <w:rsid w:val="00AD70DE"/>
    <w:rsid w:val="00AE3007"/>
    <w:rsid w:val="00AE4CB6"/>
    <w:rsid w:val="00B03537"/>
    <w:rsid w:val="00B30C9E"/>
    <w:rsid w:val="00B30EDB"/>
    <w:rsid w:val="00B568C9"/>
    <w:rsid w:val="00BA58CA"/>
    <w:rsid w:val="00BE4379"/>
    <w:rsid w:val="00BE6766"/>
    <w:rsid w:val="00BF7A33"/>
    <w:rsid w:val="00C52138"/>
    <w:rsid w:val="00C6720E"/>
    <w:rsid w:val="00C74310"/>
    <w:rsid w:val="00C75AD8"/>
    <w:rsid w:val="00C953C5"/>
    <w:rsid w:val="00CE13F9"/>
    <w:rsid w:val="00CF6E80"/>
    <w:rsid w:val="00D03150"/>
    <w:rsid w:val="00D17B5F"/>
    <w:rsid w:val="00D31A3F"/>
    <w:rsid w:val="00D35871"/>
    <w:rsid w:val="00D368A8"/>
    <w:rsid w:val="00D47174"/>
    <w:rsid w:val="00D51BDF"/>
    <w:rsid w:val="00D61980"/>
    <w:rsid w:val="00D61B62"/>
    <w:rsid w:val="00D62391"/>
    <w:rsid w:val="00D83046"/>
    <w:rsid w:val="00D90CA0"/>
    <w:rsid w:val="00DA3EF0"/>
    <w:rsid w:val="00DB46EE"/>
    <w:rsid w:val="00DC45AF"/>
    <w:rsid w:val="00DF6A14"/>
    <w:rsid w:val="00E0391D"/>
    <w:rsid w:val="00E11FC6"/>
    <w:rsid w:val="00E3660A"/>
    <w:rsid w:val="00E80EF6"/>
    <w:rsid w:val="00E945D9"/>
    <w:rsid w:val="00E96080"/>
    <w:rsid w:val="00EC3D91"/>
    <w:rsid w:val="00EC44AB"/>
    <w:rsid w:val="00EF33E3"/>
    <w:rsid w:val="00F01C4A"/>
    <w:rsid w:val="00F178F9"/>
    <w:rsid w:val="00F36F8E"/>
    <w:rsid w:val="00F56046"/>
    <w:rsid w:val="00F61355"/>
    <w:rsid w:val="00F67152"/>
    <w:rsid w:val="00F715D3"/>
    <w:rsid w:val="00FA2A8D"/>
    <w:rsid w:val="00FC6203"/>
    <w:rsid w:val="00FD3035"/>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A69D32"/>
  <w15:docId w15:val="{F058E7CE-865D-471A-B4E4-C9DEA4CE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4569"/>
    <w:rPr>
      <w:sz w:val="28"/>
    </w:rPr>
  </w:style>
  <w:style w:type="paragraph" w:styleId="Kop1">
    <w:name w:val="heading 1"/>
    <w:basedOn w:val="Standaard"/>
    <w:next w:val="Standaard"/>
    <w:link w:val="Kop1Char"/>
    <w:uiPriority w:val="9"/>
    <w:qFormat/>
    <w:rsid w:val="003A4569"/>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Kop2">
    <w:name w:val="heading 2"/>
    <w:basedOn w:val="Standaard"/>
    <w:next w:val="Standaard"/>
    <w:link w:val="Kop2Char"/>
    <w:uiPriority w:val="9"/>
    <w:unhideWhenUsed/>
    <w:qFormat/>
    <w:rsid w:val="003A4569"/>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Kop3">
    <w:name w:val="heading 3"/>
    <w:basedOn w:val="Standaard"/>
    <w:next w:val="Standaard"/>
    <w:link w:val="Kop3Char"/>
    <w:uiPriority w:val="9"/>
    <w:unhideWhenUsed/>
    <w:qFormat/>
    <w:rsid w:val="00867F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5B18"/>
    <w:pPr>
      <w:ind w:left="720"/>
      <w:contextualSpacing/>
    </w:pPr>
  </w:style>
  <w:style w:type="character" w:customStyle="1" w:styleId="Kop2Char">
    <w:name w:val="Kop 2 Char"/>
    <w:basedOn w:val="Standaardalinea-lettertype"/>
    <w:link w:val="Kop2"/>
    <w:uiPriority w:val="9"/>
    <w:rsid w:val="003A4569"/>
    <w:rPr>
      <w:rFonts w:asciiTheme="majorHAnsi" w:eastAsiaTheme="majorEastAsia" w:hAnsiTheme="majorHAnsi" w:cstheme="majorBidi"/>
      <w:b/>
      <w:bCs/>
      <w:color w:val="4F81BD" w:themeColor="accent1"/>
      <w:sz w:val="28"/>
      <w:szCs w:val="26"/>
    </w:rPr>
  </w:style>
  <w:style w:type="character" w:customStyle="1" w:styleId="Kop1Char">
    <w:name w:val="Kop 1 Char"/>
    <w:basedOn w:val="Standaardalinea-lettertype"/>
    <w:link w:val="Kop1"/>
    <w:uiPriority w:val="9"/>
    <w:rsid w:val="003A4569"/>
    <w:rPr>
      <w:rFonts w:asciiTheme="majorHAnsi" w:eastAsiaTheme="majorEastAsia" w:hAnsiTheme="majorHAnsi" w:cstheme="majorBidi"/>
      <w:b/>
      <w:bCs/>
      <w:color w:val="365F91" w:themeColor="accent1" w:themeShade="BF"/>
      <w:sz w:val="32"/>
      <w:szCs w:val="28"/>
    </w:rPr>
  </w:style>
  <w:style w:type="character" w:customStyle="1" w:styleId="Kop3Char">
    <w:name w:val="Kop 3 Char"/>
    <w:basedOn w:val="Standaardalinea-lettertype"/>
    <w:link w:val="Kop3"/>
    <w:uiPriority w:val="9"/>
    <w:rsid w:val="00867F6F"/>
    <w:rPr>
      <w:rFonts w:asciiTheme="majorHAnsi" w:eastAsiaTheme="majorEastAsia" w:hAnsiTheme="majorHAnsi" w:cstheme="majorBidi"/>
      <w:b/>
      <w:bCs/>
      <w:color w:val="4F81BD" w:themeColor="accent1"/>
    </w:rPr>
  </w:style>
  <w:style w:type="character" w:customStyle="1" w:styleId="sensegp">
    <w:name w:val="sensegp"/>
    <w:basedOn w:val="Standaardalinea-lettertype"/>
    <w:rsid w:val="00D47174"/>
  </w:style>
  <w:style w:type="table" w:styleId="Tabelraster">
    <w:name w:val="Table Grid"/>
    <w:basedOn w:val="Standaardtabel"/>
    <w:uiPriority w:val="59"/>
    <w:rsid w:val="00657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A45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4569"/>
    <w:rPr>
      <w:rFonts w:ascii="Tahoma" w:hAnsi="Tahoma" w:cs="Tahoma"/>
      <w:sz w:val="16"/>
      <w:szCs w:val="16"/>
    </w:rPr>
  </w:style>
  <w:style w:type="character" w:styleId="Tekstvantijdelijkeaanduiding">
    <w:name w:val="Placeholder Text"/>
    <w:basedOn w:val="Standaardalinea-lettertype"/>
    <w:uiPriority w:val="99"/>
    <w:semiHidden/>
    <w:rsid w:val="00C74310"/>
    <w:rPr>
      <w:color w:val="808080"/>
    </w:rPr>
  </w:style>
  <w:style w:type="paragraph" w:styleId="Koptekst">
    <w:name w:val="header"/>
    <w:basedOn w:val="Standaard"/>
    <w:link w:val="KoptekstChar"/>
    <w:uiPriority w:val="99"/>
    <w:unhideWhenUsed/>
    <w:rsid w:val="009E5206"/>
    <w:pPr>
      <w:tabs>
        <w:tab w:val="center" w:pos="4819"/>
        <w:tab w:val="right" w:pos="9638"/>
      </w:tabs>
      <w:spacing w:after="0" w:line="240" w:lineRule="auto"/>
    </w:pPr>
  </w:style>
  <w:style w:type="character" w:customStyle="1" w:styleId="KoptekstChar">
    <w:name w:val="Koptekst Char"/>
    <w:basedOn w:val="Standaardalinea-lettertype"/>
    <w:link w:val="Koptekst"/>
    <w:uiPriority w:val="99"/>
    <w:rsid w:val="009E5206"/>
    <w:rPr>
      <w:sz w:val="28"/>
    </w:rPr>
  </w:style>
  <w:style w:type="paragraph" w:styleId="Voettekst">
    <w:name w:val="footer"/>
    <w:basedOn w:val="Standaard"/>
    <w:link w:val="VoettekstChar"/>
    <w:uiPriority w:val="99"/>
    <w:unhideWhenUsed/>
    <w:rsid w:val="009E5206"/>
    <w:pPr>
      <w:tabs>
        <w:tab w:val="center" w:pos="4819"/>
        <w:tab w:val="right" w:pos="9638"/>
      </w:tabs>
      <w:spacing w:after="0" w:line="240" w:lineRule="auto"/>
    </w:pPr>
  </w:style>
  <w:style w:type="character" w:customStyle="1" w:styleId="VoettekstChar">
    <w:name w:val="Voettekst Char"/>
    <w:basedOn w:val="Standaardalinea-lettertype"/>
    <w:link w:val="Voettekst"/>
    <w:uiPriority w:val="99"/>
    <w:rsid w:val="009E5206"/>
    <w:rPr>
      <w:sz w:val="28"/>
    </w:rPr>
  </w:style>
  <w:style w:type="paragraph" w:styleId="Voetnoottekst">
    <w:name w:val="footnote text"/>
    <w:basedOn w:val="Standaard"/>
    <w:link w:val="VoetnoottekstChar"/>
    <w:uiPriority w:val="99"/>
    <w:unhideWhenUsed/>
    <w:rsid w:val="009E5206"/>
    <w:pPr>
      <w:spacing w:after="0" w:line="240" w:lineRule="auto"/>
    </w:pPr>
    <w:rPr>
      <w:sz w:val="20"/>
      <w:szCs w:val="20"/>
    </w:rPr>
  </w:style>
  <w:style w:type="character" w:customStyle="1" w:styleId="VoetnoottekstChar">
    <w:name w:val="Voetnoottekst Char"/>
    <w:basedOn w:val="Standaardalinea-lettertype"/>
    <w:link w:val="Voetnoottekst"/>
    <w:uiPriority w:val="99"/>
    <w:rsid w:val="009E5206"/>
    <w:rPr>
      <w:sz w:val="20"/>
      <w:szCs w:val="20"/>
    </w:rPr>
  </w:style>
  <w:style w:type="character" w:styleId="Voetnootmarkering">
    <w:name w:val="footnote reference"/>
    <w:basedOn w:val="Standaardalinea-lettertype"/>
    <w:uiPriority w:val="99"/>
    <w:semiHidden/>
    <w:unhideWhenUsed/>
    <w:rsid w:val="009E5206"/>
    <w:rPr>
      <w:vertAlign w:val="superscript"/>
    </w:rPr>
  </w:style>
  <w:style w:type="character" w:styleId="Hyperlink">
    <w:name w:val="Hyperlink"/>
    <w:basedOn w:val="Standaardalinea-lettertype"/>
    <w:uiPriority w:val="99"/>
    <w:unhideWhenUsed/>
    <w:rsid w:val="00AE4CB6"/>
    <w:rPr>
      <w:color w:val="0000FF" w:themeColor="hyperlink"/>
      <w:u w:val="single"/>
    </w:rPr>
  </w:style>
  <w:style w:type="character" w:styleId="GevolgdeHyperlink">
    <w:name w:val="FollowedHyperlink"/>
    <w:basedOn w:val="Standaardalinea-lettertype"/>
    <w:uiPriority w:val="99"/>
    <w:semiHidden/>
    <w:unhideWhenUsed/>
    <w:rsid w:val="00684311"/>
    <w:rPr>
      <w:color w:val="800080" w:themeColor="followedHyperlink"/>
      <w:u w:val="single"/>
    </w:rPr>
  </w:style>
  <w:style w:type="paragraph" w:styleId="Geenafstand">
    <w:name w:val="No Spacing"/>
    <w:link w:val="GeenafstandChar"/>
    <w:uiPriority w:val="1"/>
    <w:qFormat/>
    <w:rsid w:val="00AC210F"/>
    <w:pPr>
      <w:spacing w:after="0" w:line="240" w:lineRule="auto"/>
    </w:pPr>
    <w:rPr>
      <w:rFonts w:eastAsiaTheme="minorEastAsia"/>
      <w:lang w:val="nl-BE" w:eastAsia="nl-BE"/>
    </w:rPr>
  </w:style>
  <w:style w:type="character" w:customStyle="1" w:styleId="GeenafstandChar">
    <w:name w:val="Geen afstand Char"/>
    <w:basedOn w:val="Standaardalinea-lettertype"/>
    <w:link w:val="Geenafstand"/>
    <w:uiPriority w:val="1"/>
    <w:rsid w:val="00AC210F"/>
    <w:rPr>
      <w:rFonts w:eastAsiaTheme="minorEastAsia"/>
      <w:lang w:val="nl-BE" w:eastAsia="nl-BE"/>
    </w:rPr>
  </w:style>
  <w:style w:type="character" w:styleId="Verwijzingopmerking">
    <w:name w:val="annotation reference"/>
    <w:basedOn w:val="Standaardalinea-lettertype"/>
    <w:uiPriority w:val="99"/>
    <w:semiHidden/>
    <w:unhideWhenUsed/>
    <w:rsid w:val="00E945D9"/>
    <w:rPr>
      <w:sz w:val="18"/>
      <w:szCs w:val="18"/>
    </w:rPr>
  </w:style>
  <w:style w:type="paragraph" w:styleId="Tekstopmerking">
    <w:name w:val="annotation text"/>
    <w:basedOn w:val="Standaard"/>
    <w:link w:val="TekstopmerkingChar"/>
    <w:uiPriority w:val="99"/>
    <w:semiHidden/>
    <w:unhideWhenUsed/>
    <w:rsid w:val="00E945D9"/>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E945D9"/>
    <w:rPr>
      <w:sz w:val="24"/>
      <w:szCs w:val="24"/>
    </w:rPr>
  </w:style>
  <w:style w:type="paragraph" w:styleId="Onderwerpvanopmerking">
    <w:name w:val="annotation subject"/>
    <w:basedOn w:val="Tekstopmerking"/>
    <w:next w:val="Tekstopmerking"/>
    <w:link w:val="OnderwerpvanopmerkingChar"/>
    <w:uiPriority w:val="99"/>
    <w:semiHidden/>
    <w:unhideWhenUsed/>
    <w:rsid w:val="00E945D9"/>
    <w:rPr>
      <w:b/>
      <w:bCs/>
      <w:sz w:val="20"/>
      <w:szCs w:val="20"/>
    </w:rPr>
  </w:style>
  <w:style w:type="character" w:customStyle="1" w:styleId="OnderwerpvanopmerkingChar">
    <w:name w:val="Onderwerp van opmerking Char"/>
    <w:basedOn w:val="TekstopmerkingChar"/>
    <w:link w:val="Onderwerpvanopmerking"/>
    <w:uiPriority w:val="99"/>
    <w:semiHidden/>
    <w:rsid w:val="00E945D9"/>
    <w:rPr>
      <w:b/>
      <w:bCs/>
      <w:sz w:val="20"/>
      <w:szCs w:val="20"/>
    </w:rPr>
  </w:style>
  <w:style w:type="paragraph" w:styleId="Normaalweb">
    <w:name w:val="Normal (Web)"/>
    <w:basedOn w:val="Standaard"/>
    <w:uiPriority w:val="99"/>
    <w:unhideWhenUsed/>
    <w:rsid w:val="00CF6E80"/>
    <w:pPr>
      <w:spacing w:before="100" w:beforeAutospacing="1" w:after="100" w:afterAutospacing="1" w:line="240" w:lineRule="auto"/>
    </w:pPr>
    <w:rPr>
      <w:rFonts w:ascii="Times New Roman" w:eastAsiaTheme="minorEastAsia" w:hAnsi="Times New Roman" w:cs="Times New Roman"/>
      <w:sz w:val="24"/>
      <w:szCs w:val="24"/>
      <w:lang w:val="nl-BE" w:eastAsia="nl-BE"/>
    </w:rPr>
  </w:style>
  <w:style w:type="character" w:styleId="Zwaar">
    <w:name w:val="Strong"/>
    <w:basedOn w:val="Standaardalinea-lettertype"/>
    <w:uiPriority w:val="22"/>
    <w:qFormat/>
    <w:rsid w:val="004E26AD"/>
    <w:rPr>
      <w:b/>
      <w:bCs/>
    </w:rPr>
  </w:style>
  <w:style w:type="character" w:customStyle="1" w:styleId="Hyperlink2">
    <w:name w:val="Hyperlink.2"/>
    <w:rsid w:val="0050169A"/>
    <w:rPr>
      <w:color w:val="0000FF"/>
      <w:u w:val="single" w:color="0000FF"/>
      <w:lang w:val="en-US"/>
    </w:rPr>
  </w:style>
  <w:style w:type="numbering" w:customStyle="1" w:styleId="List8">
    <w:name w:val="List 8"/>
    <w:basedOn w:val="Geenlijst"/>
    <w:rsid w:val="0050169A"/>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1715">
      <w:bodyDiv w:val="1"/>
      <w:marLeft w:val="0"/>
      <w:marRight w:val="0"/>
      <w:marTop w:val="0"/>
      <w:marBottom w:val="0"/>
      <w:divBdr>
        <w:top w:val="none" w:sz="0" w:space="0" w:color="auto"/>
        <w:left w:val="none" w:sz="0" w:space="0" w:color="auto"/>
        <w:bottom w:val="none" w:sz="0" w:space="0" w:color="auto"/>
        <w:right w:val="none" w:sz="0" w:space="0" w:color="auto"/>
      </w:divBdr>
    </w:div>
    <w:div w:id="146672253">
      <w:bodyDiv w:val="1"/>
      <w:marLeft w:val="0"/>
      <w:marRight w:val="0"/>
      <w:marTop w:val="0"/>
      <w:marBottom w:val="0"/>
      <w:divBdr>
        <w:top w:val="none" w:sz="0" w:space="0" w:color="auto"/>
        <w:left w:val="none" w:sz="0" w:space="0" w:color="auto"/>
        <w:bottom w:val="none" w:sz="0" w:space="0" w:color="auto"/>
        <w:right w:val="none" w:sz="0" w:space="0" w:color="auto"/>
      </w:divBdr>
    </w:div>
    <w:div w:id="151533218">
      <w:bodyDiv w:val="1"/>
      <w:marLeft w:val="0"/>
      <w:marRight w:val="0"/>
      <w:marTop w:val="0"/>
      <w:marBottom w:val="0"/>
      <w:divBdr>
        <w:top w:val="none" w:sz="0" w:space="0" w:color="auto"/>
        <w:left w:val="none" w:sz="0" w:space="0" w:color="auto"/>
        <w:bottom w:val="none" w:sz="0" w:space="0" w:color="auto"/>
        <w:right w:val="none" w:sz="0" w:space="0" w:color="auto"/>
      </w:divBdr>
    </w:div>
    <w:div w:id="401609646">
      <w:bodyDiv w:val="1"/>
      <w:marLeft w:val="0"/>
      <w:marRight w:val="0"/>
      <w:marTop w:val="0"/>
      <w:marBottom w:val="0"/>
      <w:divBdr>
        <w:top w:val="none" w:sz="0" w:space="0" w:color="auto"/>
        <w:left w:val="none" w:sz="0" w:space="0" w:color="auto"/>
        <w:bottom w:val="none" w:sz="0" w:space="0" w:color="auto"/>
        <w:right w:val="none" w:sz="0" w:space="0" w:color="auto"/>
      </w:divBdr>
    </w:div>
    <w:div w:id="415903063">
      <w:bodyDiv w:val="1"/>
      <w:marLeft w:val="0"/>
      <w:marRight w:val="0"/>
      <w:marTop w:val="0"/>
      <w:marBottom w:val="0"/>
      <w:divBdr>
        <w:top w:val="none" w:sz="0" w:space="0" w:color="auto"/>
        <w:left w:val="none" w:sz="0" w:space="0" w:color="auto"/>
        <w:bottom w:val="none" w:sz="0" w:space="0" w:color="auto"/>
        <w:right w:val="none" w:sz="0" w:space="0" w:color="auto"/>
      </w:divBdr>
    </w:div>
    <w:div w:id="923958471">
      <w:bodyDiv w:val="1"/>
      <w:marLeft w:val="0"/>
      <w:marRight w:val="0"/>
      <w:marTop w:val="0"/>
      <w:marBottom w:val="0"/>
      <w:divBdr>
        <w:top w:val="none" w:sz="0" w:space="0" w:color="auto"/>
        <w:left w:val="none" w:sz="0" w:space="0" w:color="auto"/>
        <w:bottom w:val="none" w:sz="0" w:space="0" w:color="auto"/>
        <w:right w:val="none" w:sz="0" w:space="0" w:color="auto"/>
      </w:divBdr>
    </w:div>
    <w:div w:id="1019159114">
      <w:bodyDiv w:val="1"/>
      <w:marLeft w:val="0"/>
      <w:marRight w:val="0"/>
      <w:marTop w:val="0"/>
      <w:marBottom w:val="0"/>
      <w:divBdr>
        <w:top w:val="none" w:sz="0" w:space="0" w:color="auto"/>
        <w:left w:val="none" w:sz="0" w:space="0" w:color="auto"/>
        <w:bottom w:val="none" w:sz="0" w:space="0" w:color="auto"/>
        <w:right w:val="none" w:sz="0" w:space="0" w:color="auto"/>
      </w:divBdr>
    </w:div>
    <w:div w:id="1032262368">
      <w:bodyDiv w:val="1"/>
      <w:marLeft w:val="0"/>
      <w:marRight w:val="0"/>
      <w:marTop w:val="0"/>
      <w:marBottom w:val="0"/>
      <w:divBdr>
        <w:top w:val="none" w:sz="0" w:space="0" w:color="auto"/>
        <w:left w:val="none" w:sz="0" w:space="0" w:color="auto"/>
        <w:bottom w:val="none" w:sz="0" w:space="0" w:color="auto"/>
        <w:right w:val="none" w:sz="0" w:space="0" w:color="auto"/>
      </w:divBdr>
    </w:div>
    <w:div w:id="1307782017">
      <w:bodyDiv w:val="1"/>
      <w:marLeft w:val="0"/>
      <w:marRight w:val="0"/>
      <w:marTop w:val="0"/>
      <w:marBottom w:val="0"/>
      <w:divBdr>
        <w:top w:val="none" w:sz="0" w:space="0" w:color="auto"/>
        <w:left w:val="none" w:sz="0" w:space="0" w:color="auto"/>
        <w:bottom w:val="none" w:sz="0" w:space="0" w:color="auto"/>
        <w:right w:val="none" w:sz="0" w:space="0" w:color="auto"/>
      </w:divBdr>
    </w:div>
    <w:div w:id="1357120588">
      <w:bodyDiv w:val="1"/>
      <w:marLeft w:val="0"/>
      <w:marRight w:val="0"/>
      <w:marTop w:val="0"/>
      <w:marBottom w:val="0"/>
      <w:divBdr>
        <w:top w:val="none" w:sz="0" w:space="0" w:color="auto"/>
        <w:left w:val="none" w:sz="0" w:space="0" w:color="auto"/>
        <w:bottom w:val="none" w:sz="0" w:space="0" w:color="auto"/>
        <w:right w:val="none" w:sz="0" w:space="0" w:color="auto"/>
      </w:divBdr>
    </w:div>
    <w:div w:id="1525942252">
      <w:bodyDiv w:val="1"/>
      <w:marLeft w:val="0"/>
      <w:marRight w:val="0"/>
      <w:marTop w:val="0"/>
      <w:marBottom w:val="0"/>
      <w:divBdr>
        <w:top w:val="none" w:sz="0" w:space="0" w:color="auto"/>
        <w:left w:val="none" w:sz="0" w:space="0" w:color="auto"/>
        <w:bottom w:val="none" w:sz="0" w:space="0" w:color="auto"/>
        <w:right w:val="none" w:sz="0" w:space="0" w:color="auto"/>
      </w:divBdr>
    </w:div>
    <w:div w:id="1599023338">
      <w:bodyDiv w:val="1"/>
      <w:marLeft w:val="0"/>
      <w:marRight w:val="0"/>
      <w:marTop w:val="0"/>
      <w:marBottom w:val="0"/>
      <w:divBdr>
        <w:top w:val="none" w:sz="0" w:space="0" w:color="auto"/>
        <w:left w:val="none" w:sz="0" w:space="0" w:color="auto"/>
        <w:bottom w:val="none" w:sz="0" w:space="0" w:color="auto"/>
        <w:right w:val="none" w:sz="0" w:space="0" w:color="auto"/>
      </w:divBdr>
    </w:div>
    <w:div w:id="1643581904">
      <w:bodyDiv w:val="1"/>
      <w:marLeft w:val="0"/>
      <w:marRight w:val="0"/>
      <w:marTop w:val="0"/>
      <w:marBottom w:val="0"/>
      <w:divBdr>
        <w:top w:val="none" w:sz="0" w:space="0" w:color="auto"/>
        <w:left w:val="none" w:sz="0" w:space="0" w:color="auto"/>
        <w:bottom w:val="none" w:sz="0" w:space="0" w:color="auto"/>
        <w:right w:val="none" w:sz="0" w:space="0" w:color="auto"/>
      </w:divBdr>
    </w:div>
    <w:div w:id="1809661759">
      <w:bodyDiv w:val="1"/>
      <w:marLeft w:val="0"/>
      <w:marRight w:val="0"/>
      <w:marTop w:val="0"/>
      <w:marBottom w:val="0"/>
      <w:divBdr>
        <w:top w:val="none" w:sz="0" w:space="0" w:color="auto"/>
        <w:left w:val="none" w:sz="0" w:space="0" w:color="auto"/>
        <w:bottom w:val="none" w:sz="0" w:space="0" w:color="auto"/>
        <w:right w:val="none" w:sz="0" w:space="0" w:color="auto"/>
      </w:divBdr>
    </w:div>
    <w:div w:id="1840807749">
      <w:bodyDiv w:val="1"/>
      <w:marLeft w:val="0"/>
      <w:marRight w:val="0"/>
      <w:marTop w:val="0"/>
      <w:marBottom w:val="0"/>
      <w:divBdr>
        <w:top w:val="none" w:sz="0" w:space="0" w:color="auto"/>
        <w:left w:val="none" w:sz="0" w:space="0" w:color="auto"/>
        <w:bottom w:val="none" w:sz="0" w:space="0" w:color="auto"/>
        <w:right w:val="none" w:sz="0" w:space="0" w:color="auto"/>
      </w:divBdr>
    </w:div>
    <w:div w:id="2027173648">
      <w:bodyDiv w:val="1"/>
      <w:marLeft w:val="0"/>
      <w:marRight w:val="0"/>
      <w:marTop w:val="0"/>
      <w:marBottom w:val="0"/>
      <w:divBdr>
        <w:top w:val="none" w:sz="0" w:space="0" w:color="auto"/>
        <w:left w:val="none" w:sz="0" w:space="0" w:color="auto"/>
        <w:bottom w:val="none" w:sz="0" w:space="0" w:color="auto"/>
        <w:right w:val="none" w:sz="0" w:space="0" w:color="auto"/>
      </w:divBdr>
    </w:div>
    <w:div w:id="206957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gracons.eu/sites/default/files/Isced%202013%20fields%20of%20education%20code%20list.pdf"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egracons.eu/sites/default/files/COUNTRY_REPORTS.pdf" TargetMode="External"/><Relationship Id="rId7" Type="http://schemas.openxmlformats.org/officeDocument/2006/relationships/endnotes" Target="endnotes.xml"/><Relationship Id="rId12" Type="http://schemas.openxmlformats.org/officeDocument/2006/relationships/hyperlink" Target="http://egracons.eu/document/grading-table-instructions-and-template" TargetMode="Externa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mailto:valere.meus@ugent.be"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gracons.eu/document/grading-table-instructions-and-templat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gracons.eu/document/grading-table-instructions-and-template" TargetMode="External"/><Relationship Id="rId23" Type="http://schemas.openxmlformats.org/officeDocument/2006/relationships/fontTable" Target="fontTable.xml"/><Relationship Id="rId10" Type="http://schemas.openxmlformats.org/officeDocument/2006/relationships/hyperlink" Target="http://ec.europa.eu/education/library/publications/2015/ects-users-guide_en.pdf"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www.egracons.eu" TargetMode="External"/><Relationship Id="rId14" Type="http://schemas.openxmlformats.org/officeDocument/2006/relationships/hyperlink" Target="http://egracons.eu/sites/default/files/ISCED%202013%20Fields%20of%20Education%20and%20Training%20UNESCO%20summary%20instructions.pdf"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files\vmeus\home\_%20Egracons%20Grading%20table\Intern%20UGent\Grading%20Tables%20UGent\ECTS%20Grading%20Table.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Macintosh%20HD:Users:anthony:OneDrive:Documents:Bologna:EGRACONS:Essex%20Conversion%20Example:Example%20Conversion%20v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726975515620359E-2"/>
          <c:y val="9.1193603817935079E-2"/>
          <c:w val="0.92151377988280747"/>
          <c:h val="0.78208966273961888"/>
        </c:manualLayout>
      </c:layout>
      <c:lineChart>
        <c:grouping val="standard"/>
        <c:varyColors val="0"/>
        <c:ser>
          <c:idx val="4"/>
          <c:order val="0"/>
          <c:tx>
            <c:strRef>
              <c:f>'Grading Table LW'!$G$20:$H$20</c:f>
              <c:strCache>
                <c:ptCount val="1"/>
                <c:pt idx="0">
                  <c:v>Bachelor of Arts in de Oosterse talen en culturen</c:v>
                </c:pt>
              </c:strCache>
            </c:strRef>
          </c:tx>
          <c:marker>
            <c:symbol val="none"/>
          </c:marker>
          <c:cat>
            <c:strRef>
              <c:f>'Grading Table LW'!$J$7:$T$7</c:f>
              <c:strCache>
                <c:ptCount val="11"/>
                <c:pt idx="0">
                  <c:v>10</c:v>
                </c:pt>
                <c:pt idx="1">
                  <c:v>11</c:v>
                </c:pt>
                <c:pt idx="2">
                  <c:v>12</c:v>
                </c:pt>
                <c:pt idx="3">
                  <c:v>13</c:v>
                </c:pt>
                <c:pt idx="4">
                  <c:v>14</c:v>
                </c:pt>
                <c:pt idx="5">
                  <c:v>15</c:v>
                </c:pt>
                <c:pt idx="6">
                  <c:v>16</c:v>
                </c:pt>
                <c:pt idx="7">
                  <c:v>17</c:v>
                </c:pt>
                <c:pt idx="8">
                  <c:v>18</c:v>
                </c:pt>
                <c:pt idx="9">
                  <c:v>19</c:v>
                </c:pt>
                <c:pt idx="10">
                  <c:v>20</c:v>
                </c:pt>
              </c:strCache>
            </c:strRef>
          </c:cat>
          <c:val>
            <c:numRef>
              <c:f>'Grading Table LW'!$J$20:$T$20</c:f>
              <c:numCache>
                <c:formatCode>General</c:formatCode>
                <c:ptCount val="11"/>
                <c:pt idx="0">
                  <c:v>11.1</c:v>
                </c:pt>
                <c:pt idx="1">
                  <c:v>13</c:v>
                </c:pt>
                <c:pt idx="2">
                  <c:v>13.73</c:v>
                </c:pt>
                <c:pt idx="3">
                  <c:v>13.63</c:v>
                </c:pt>
                <c:pt idx="4">
                  <c:v>13.44</c:v>
                </c:pt>
                <c:pt idx="5">
                  <c:v>11.54</c:v>
                </c:pt>
                <c:pt idx="6">
                  <c:v>9.2000000000000011</c:v>
                </c:pt>
                <c:pt idx="7">
                  <c:v>6.23</c:v>
                </c:pt>
                <c:pt idx="8">
                  <c:v>5.26</c:v>
                </c:pt>
                <c:pt idx="9">
                  <c:v>2</c:v>
                </c:pt>
                <c:pt idx="10">
                  <c:v>0.88</c:v>
                </c:pt>
              </c:numCache>
            </c:numRef>
          </c:val>
          <c:smooth val="0"/>
          <c:extLst>
            <c:ext xmlns:c16="http://schemas.microsoft.com/office/drawing/2014/chart" uri="{C3380CC4-5D6E-409C-BE32-E72D297353CC}">
              <c16:uniqueId val="{00000000-A582-4D65-BD65-2D02AEE8FF37}"/>
            </c:ext>
          </c:extLst>
        </c:ser>
        <c:ser>
          <c:idx val="5"/>
          <c:order val="1"/>
          <c:tx>
            <c:strRef>
              <c:f>'Grading Table LW'!$G$22:$H$22</c:f>
              <c:strCache>
                <c:ptCount val="1"/>
                <c:pt idx="0">
                  <c:v>Bachelor of Arts in de Oosterse talen en culturen</c:v>
                </c:pt>
              </c:strCache>
            </c:strRef>
          </c:tx>
          <c:marker>
            <c:symbol val="none"/>
          </c:marker>
          <c:cat>
            <c:strRef>
              <c:f>'Grading Table LW'!$J$7:$T$7</c:f>
              <c:strCache>
                <c:ptCount val="11"/>
                <c:pt idx="0">
                  <c:v>10</c:v>
                </c:pt>
                <c:pt idx="1">
                  <c:v>11</c:v>
                </c:pt>
                <c:pt idx="2">
                  <c:v>12</c:v>
                </c:pt>
                <c:pt idx="3">
                  <c:v>13</c:v>
                </c:pt>
                <c:pt idx="4">
                  <c:v>14</c:v>
                </c:pt>
                <c:pt idx="5">
                  <c:v>15</c:v>
                </c:pt>
                <c:pt idx="6">
                  <c:v>16</c:v>
                </c:pt>
                <c:pt idx="7">
                  <c:v>17</c:v>
                </c:pt>
                <c:pt idx="8">
                  <c:v>18</c:v>
                </c:pt>
                <c:pt idx="9">
                  <c:v>19</c:v>
                </c:pt>
                <c:pt idx="10">
                  <c:v>20</c:v>
                </c:pt>
              </c:strCache>
            </c:strRef>
          </c:cat>
          <c:val>
            <c:numRef>
              <c:f>'Grading Table LW'!$J$20:$T$20</c:f>
              <c:numCache>
                <c:formatCode>General</c:formatCode>
                <c:ptCount val="11"/>
                <c:pt idx="0">
                  <c:v>11.1</c:v>
                </c:pt>
                <c:pt idx="1">
                  <c:v>13</c:v>
                </c:pt>
                <c:pt idx="2">
                  <c:v>13.73</c:v>
                </c:pt>
                <c:pt idx="3">
                  <c:v>13.63</c:v>
                </c:pt>
                <c:pt idx="4">
                  <c:v>13.44</c:v>
                </c:pt>
                <c:pt idx="5">
                  <c:v>11.54</c:v>
                </c:pt>
                <c:pt idx="6">
                  <c:v>9.2000000000000011</c:v>
                </c:pt>
                <c:pt idx="7">
                  <c:v>6.23</c:v>
                </c:pt>
                <c:pt idx="8">
                  <c:v>5.26</c:v>
                </c:pt>
                <c:pt idx="9">
                  <c:v>2</c:v>
                </c:pt>
                <c:pt idx="10">
                  <c:v>0.88</c:v>
                </c:pt>
              </c:numCache>
            </c:numRef>
          </c:val>
          <c:smooth val="0"/>
          <c:extLst>
            <c:ext xmlns:c16="http://schemas.microsoft.com/office/drawing/2014/chart" uri="{C3380CC4-5D6E-409C-BE32-E72D297353CC}">
              <c16:uniqueId val="{00000001-A582-4D65-BD65-2D02AEE8FF37}"/>
            </c:ext>
          </c:extLst>
        </c:ser>
        <c:dLbls>
          <c:showLegendKey val="0"/>
          <c:showVal val="0"/>
          <c:showCatName val="0"/>
          <c:showSerName val="0"/>
          <c:showPercent val="0"/>
          <c:showBubbleSize val="0"/>
        </c:dLbls>
        <c:smooth val="0"/>
        <c:axId val="491743384"/>
        <c:axId val="491747696"/>
      </c:lineChart>
      <c:catAx>
        <c:axId val="491743384"/>
        <c:scaling>
          <c:orientation val="minMax"/>
        </c:scaling>
        <c:delete val="0"/>
        <c:axPos val="b"/>
        <c:numFmt formatCode="General" sourceLinked="1"/>
        <c:majorTickMark val="out"/>
        <c:minorTickMark val="none"/>
        <c:tickLblPos val="nextTo"/>
        <c:crossAx val="491747696"/>
        <c:crosses val="autoZero"/>
        <c:auto val="1"/>
        <c:lblAlgn val="ctr"/>
        <c:lblOffset val="100"/>
        <c:noMultiLvlLbl val="0"/>
      </c:catAx>
      <c:valAx>
        <c:axId val="491747696"/>
        <c:scaling>
          <c:orientation val="minMax"/>
        </c:scaling>
        <c:delete val="0"/>
        <c:axPos val="l"/>
        <c:majorGridlines/>
        <c:numFmt formatCode="General" sourceLinked="1"/>
        <c:majorTickMark val="out"/>
        <c:minorTickMark val="none"/>
        <c:tickLblPos val="nextTo"/>
        <c:crossAx val="49174338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35253388964505444"/>
          <c:y val="9.3343082114735659E-2"/>
          <c:w val="0.52085244594829527"/>
          <c:h val="0.685892739343411"/>
        </c:manualLayout>
      </c:layout>
      <c:barChart>
        <c:barDir val="bar"/>
        <c:grouping val="percentStacked"/>
        <c:varyColors val="0"/>
        <c:ser>
          <c:idx val="3"/>
          <c:order val="0"/>
          <c:tx>
            <c:strRef>
              <c:f>Sheet1!$G$2</c:f>
              <c:strCache>
                <c:ptCount val="1"/>
                <c:pt idx="0">
                  <c:v>3rd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Sheet1!$C$3</c:f>
              <c:strCache>
                <c:ptCount val="1"/>
                <c:pt idx="0">
                  <c:v>University X - Biology</c:v>
                </c:pt>
              </c:strCache>
            </c:strRef>
          </c:cat>
          <c:val>
            <c:numRef>
              <c:f>Sheet1!$G$3</c:f>
              <c:numCache>
                <c:formatCode>General</c:formatCode>
                <c:ptCount val="1"/>
                <c:pt idx="0">
                  <c:v>12.93</c:v>
                </c:pt>
              </c:numCache>
            </c:numRef>
          </c:val>
          <c:extLst>
            <c:ext xmlns:c16="http://schemas.microsoft.com/office/drawing/2014/chart" uri="{C3380CC4-5D6E-409C-BE32-E72D297353CC}">
              <c16:uniqueId val="{00000000-945D-4581-A021-4BC4787A6876}"/>
            </c:ext>
          </c:extLst>
        </c:ser>
        <c:ser>
          <c:idx val="2"/>
          <c:order val="1"/>
          <c:tx>
            <c:strRef>
              <c:f>Sheet1!$F$2</c:f>
              <c:strCache>
                <c:ptCount val="1"/>
                <c:pt idx="0">
                  <c:v>2ii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Sheet1!$C$3</c:f>
              <c:strCache>
                <c:ptCount val="1"/>
                <c:pt idx="0">
                  <c:v>University X - Biology</c:v>
                </c:pt>
              </c:strCache>
            </c:strRef>
          </c:cat>
          <c:val>
            <c:numRef>
              <c:f>Sheet1!$F$3</c:f>
              <c:numCache>
                <c:formatCode>General</c:formatCode>
                <c:ptCount val="1"/>
                <c:pt idx="0">
                  <c:v>23.34</c:v>
                </c:pt>
              </c:numCache>
            </c:numRef>
          </c:val>
          <c:extLst>
            <c:ext xmlns:c16="http://schemas.microsoft.com/office/drawing/2014/chart" uri="{C3380CC4-5D6E-409C-BE32-E72D297353CC}">
              <c16:uniqueId val="{00000001-945D-4581-A021-4BC4787A6876}"/>
            </c:ext>
          </c:extLst>
        </c:ser>
        <c:ser>
          <c:idx val="1"/>
          <c:order val="2"/>
          <c:tx>
            <c:strRef>
              <c:f>Sheet1!$E$2</c:f>
              <c:strCache>
                <c:ptCount val="1"/>
                <c:pt idx="0">
                  <c:v>2i</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45D-4581-A021-4BC4787A687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Sheet1!$C$3</c:f>
              <c:strCache>
                <c:ptCount val="1"/>
                <c:pt idx="0">
                  <c:v>University X - Biology</c:v>
                </c:pt>
              </c:strCache>
            </c:strRef>
          </c:cat>
          <c:val>
            <c:numRef>
              <c:f>Sheet1!$E$3</c:f>
              <c:numCache>
                <c:formatCode>General</c:formatCode>
                <c:ptCount val="1"/>
                <c:pt idx="0">
                  <c:v>37.21</c:v>
                </c:pt>
              </c:numCache>
            </c:numRef>
          </c:val>
          <c:extLst>
            <c:ext xmlns:c16="http://schemas.microsoft.com/office/drawing/2014/chart" uri="{C3380CC4-5D6E-409C-BE32-E72D297353CC}">
              <c16:uniqueId val="{00000003-945D-4581-A021-4BC4787A6876}"/>
            </c:ext>
          </c:extLst>
        </c:ser>
        <c:ser>
          <c:idx val="0"/>
          <c:order val="3"/>
          <c:tx>
            <c:strRef>
              <c:f>Sheet1!$D$2</c:f>
              <c:strCache>
                <c:ptCount val="1"/>
                <c:pt idx="0">
                  <c:v>1st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Sheet1!$C$3</c:f>
              <c:strCache>
                <c:ptCount val="1"/>
                <c:pt idx="0">
                  <c:v>University X - Biology</c:v>
                </c:pt>
              </c:strCache>
            </c:strRef>
          </c:cat>
          <c:val>
            <c:numRef>
              <c:f>Sheet1!$D$3</c:f>
              <c:numCache>
                <c:formatCode>General</c:formatCode>
                <c:ptCount val="1"/>
                <c:pt idx="0">
                  <c:v>26.52</c:v>
                </c:pt>
              </c:numCache>
            </c:numRef>
          </c:val>
          <c:extLst>
            <c:ext xmlns:c16="http://schemas.microsoft.com/office/drawing/2014/chart" uri="{C3380CC4-5D6E-409C-BE32-E72D297353CC}">
              <c16:uniqueId val="{00000004-945D-4581-A021-4BC4787A6876}"/>
            </c:ext>
          </c:extLst>
        </c:ser>
        <c:dLbls>
          <c:showLegendKey val="0"/>
          <c:showVal val="0"/>
          <c:showCatName val="0"/>
          <c:showSerName val="0"/>
          <c:showPercent val="0"/>
          <c:showBubbleSize val="0"/>
        </c:dLbls>
        <c:gapWidth val="150"/>
        <c:overlap val="100"/>
        <c:axId val="491748480"/>
        <c:axId val="491742992"/>
      </c:barChart>
      <c:catAx>
        <c:axId val="491748480"/>
        <c:scaling>
          <c:orientation val="minMax"/>
        </c:scaling>
        <c:delete val="0"/>
        <c:axPos val="l"/>
        <c:numFmt formatCode="General" sourceLinked="0"/>
        <c:majorTickMark val="out"/>
        <c:minorTickMark val="none"/>
        <c:tickLblPos val="nextTo"/>
        <c:txPr>
          <a:bodyPr/>
          <a:lstStyle/>
          <a:p>
            <a:pPr>
              <a:defRPr sz="1600"/>
            </a:pPr>
            <a:endParaRPr lang="nl-BE"/>
          </a:p>
        </c:txPr>
        <c:crossAx val="491742992"/>
        <c:crosses val="autoZero"/>
        <c:auto val="1"/>
        <c:lblAlgn val="ctr"/>
        <c:lblOffset val="100"/>
        <c:noMultiLvlLbl val="0"/>
      </c:catAx>
      <c:valAx>
        <c:axId val="491742992"/>
        <c:scaling>
          <c:orientation val="minMax"/>
        </c:scaling>
        <c:delete val="1"/>
        <c:axPos val="b"/>
        <c:numFmt formatCode="0%" sourceLinked="1"/>
        <c:majorTickMark val="out"/>
        <c:minorTickMark val="none"/>
        <c:tickLblPos val="nextTo"/>
        <c:crossAx val="491748480"/>
        <c:crosses val="autoZero"/>
        <c:crossBetween val="between"/>
      </c:valAx>
    </c:plotArea>
    <c:legend>
      <c:legendPos val="r"/>
      <c:overlay val="0"/>
      <c:txPr>
        <a:bodyPr/>
        <a:lstStyle/>
        <a:p>
          <a:pPr>
            <a:defRPr sz="1600"/>
          </a:pPr>
          <a:endParaRPr lang="nl-BE"/>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0.35218</cdr:x>
      <cdr:y>0.58824</cdr:y>
    </cdr:from>
    <cdr:to>
      <cdr:x>0.87237</cdr:x>
      <cdr:y>0.78075</cdr:y>
    </cdr:to>
    <cdr:sp macro="" textlink="">
      <cdr:nvSpPr>
        <cdr:cNvPr id="6" name="Tekstvak 2"/>
        <cdr:cNvSpPr txBox="1">
          <a:spLocks xmlns:a="http://schemas.openxmlformats.org/drawingml/2006/main" noChangeArrowheads="1"/>
        </cdr:cNvSpPr>
      </cdr:nvSpPr>
      <cdr:spPr bwMode="auto">
        <a:xfrm xmlns:a="http://schemas.openxmlformats.org/drawingml/2006/main">
          <a:off x="2076450" y="1047750"/>
          <a:ext cx="3067050" cy="342900"/>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sp>
  </cdr:relSizeAnchor>
  <cdr:relSizeAnchor xmlns:cdr="http://schemas.openxmlformats.org/drawingml/2006/chartDrawing">
    <cdr:from>
      <cdr:x>0.35218</cdr:x>
      <cdr:y>0.78075</cdr:y>
    </cdr:from>
    <cdr:to>
      <cdr:x>0.87237</cdr:x>
      <cdr:y>0.97326</cdr:y>
    </cdr:to>
    <cdr:sp macro="" textlink="">
      <cdr:nvSpPr>
        <cdr:cNvPr id="8" name="Tekstvak 2"/>
        <cdr:cNvSpPr txBox="1">
          <a:spLocks xmlns:a="http://schemas.openxmlformats.org/drawingml/2006/main" noChangeArrowheads="1"/>
        </cdr:cNvSpPr>
      </cdr:nvSpPr>
      <cdr:spPr bwMode="auto">
        <a:xfrm xmlns:a="http://schemas.openxmlformats.org/drawingml/2006/main">
          <a:off x="2076450" y="1390650"/>
          <a:ext cx="3067050" cy="342900"/>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nl-NL" sz="1100">
              <a:effectLst/>
              <a:latin typeface="+mn-lt"/>
              <a:ea typeface="+mn-ea"/>
              <a:cs typeface="+mn-cs"/>
            </a:rPr>
            <a:t>100%*    87.07%               63.73%                    26.52%</a:t>
          </a:r>
          <a:endParaRPr lang="nl-BE" sz="1100">
            <a:effectLst/>
            <a:latin typeface="+mn-lt"/>
            <a:ea typeface="+mn-ea"/>
            <a:cs typeface="+mn-cs"/>
          </a:endParaRPr>
        </a:p>
        <a:p xmlns:a="http://schemas.openxmlformats.org/drawingml/2006/main">
          <a:endParaRPr lang="nl-BE"/>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0E973-C9AF-40DB-B769-6F927AA3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2278</Words>
  <Characters>12532</Characters>
  <Application>Microsoft Office Word</Application>
  <DocSecurity>0</DocSecurity>
  <Lines>104</Lines>
  <Paragraphs>29</Paragraphs>
  <ScaleCrop>false</ScaleCrop>
  <HeadingPairs>
    <vt:vector size="6" baseType="variant">
      <vt:variant>
        <vt:lpstr>Titel</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Hewlett-Packard</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dc:creator>
  <cp:keywords/>
  <dc:description/>
  <cp:lastModifiedBy>xx</cp:lastModifiedBy>
  <cp:revision>3</cp:revision>
  <cp:lastPrinted>2014-11-27T17:38:00Z</cp:lastPrinted>
  <dcterms:created xsi:type="dcterms:W3CDTF">2016-07-28T14:11:00Z</dcterms:created>
  <dcterms:modified xsi:type="dcterms:W3CDTF">2016-07-29T09:10:00Z</dcterms:modified>
</cp:coreProperties>
</file>